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jc w:val="center"/>
        <w:rPr>
          <w:rFonts w:hint="eastAsia" w:ascii="宋体" w:hAnsi="宋体"/>
          <w:b/>
          <w:bCs/>
          <w:kern w:val="32"/>
          <w:sz w:val="36"/>
          <w:szCs w:val="36"/>
        </w:rPr>
      </w:pPr>
      <w:bookmarkStart w:id="0" w:name="_GoBack"/>
      <w:r>
        <w:rPr>
          <w:rFonts w:ascii="宋体" w:hAnsi="宋体"/>
          <w:b/>
          <w:bCs/>
          <w:kern w:val="32"/>
          <w:sz w:val="36"/>
          <w:szCs w:val="36"/>
        </w:rPr>
        <w:t>轻微违法</w:t>
      </w:r>
      <w:r>
        <w:rPr>
          <w:rFonts w:hint="eastAsia" w:ascii="宋体" w:hAnsi="宋体"/>
          <w:b/>
          <w:bCs/>
          <w:kern w:val="32"/>
          <w:sz w:val="36"/>
          <w:szCs w:val="36"/>
        </w:rPr>
        <w:t>行为</w:t>
      </w:r>
      <w:r>
        <w:rPr>
          <w:rFonts w:ascii="宋体" w:hAnsi="宋体"/>
          <w:b/>
          <w:bCs/>
          <w:kern w:val="32"/>
          <w:sz w:val="36"/>
          <w:szCs w:val="36"/>
        </w:rPr>
        <w:t>不予行政处罚清单</w:t>
      </w:r>
      <w:bookmarkEnd w:id="0"/>
    </w:p>
    <w:p>
      <w:pPr>
        <w:jc w:val="center"/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843"/>
        <w:gridCol w:w="3969"/>
        <w:gridCol w:w="4294"/>
        <w:gridCol w:w="4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adjustRightInd w:val="0"/>
              <w:spacing w:line="420" w:lineRule="exact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pacing w:line="420" w:lineRule="exact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违法行为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adjustRightInd w:val="0"/>
              <w:spacing w:line="420" w:lineRule="exact"/>
              <w:ind w:firstLine="562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适用条件</w:t>
            </w:r>
          </w:p>
        </w:tc>
        <w:tc>
          <w:tcPr>
            <w:tcW w:w="4294" w:type="dxa"/>
            <w:noWrap w:val="0"/>
            <w:vAlign w:val="center"/>
          </w:tcPr>
          <w:p>
            <w:pPr>
              <w:adjustRightInd w:val="0"/>
              <w:spacing w:line="420" w:lineRule="exact"/>
              <w:ind w:firstLine="562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义务条款</w:t>
            </w:r>
          </w:p>
        </w:tc>
        <w:tc>
          <w:tcPr>
            <w:tcW w:w="4384" w:type="dxa"/>
            <w:noWrap w:val="0"/>
            <w:vAlign w:val="center"/>
          </w:tcPr>
          <w:p>
            <w:pPr>
              <w:adjustRightInd w:val="0"/>
              <w:spacing w:line="420" w:lineRule="exact"/>
              <w:ind w:firstLine="562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处罚条款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在风景区内，摇晃竹木的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adjustRightIn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同时符合下列条件：</w:t>
            </w:r>
          </w:p>
          <w:p>
            <w:pPr>
              <w:adjustRightIn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1.初次违法；</w:t>
            </w:r>
          </w:p>
          <w:p>
            <w:pPr>
              <w:adjustRightIn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违法行为持续时间较短；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adjustRightIn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认违服管，在限期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内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改正或采取补救措施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；</w:t>
            </w:r>
          </w:p>
          <w:p>
            <w:pPr>
              <w:adjustRightInd w:val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未造成他人损失或已赔偿损失的；</w:t>
            </w:r>
          </w:p>
          <w:p>
            <w:pPr>
              <w:adjustRightIn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5.没有适用不予行政处罚负面情形的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。</w:t>
            </w:r>
          </w:p>
        </w:tc>
        <w:tc>
          <w:tcPr>
            <w:tcW w:w="4294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《杭州西湖风景名胜区管理条例》第二十七条第（三）项 在风景区内禁止下列行为：(三)攀折、刻划、钉拴、摇晃竹木，损坏绿地草坪，擅自采摘花草、竹笋、果实；</w:t>
            </w:r>
          </w:p>
        </w:tc>
        <w:tc>
          <w:tcPr>
            <w:tcW w:w="4384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《杭州西湖风景名胜区管理条例》第五十四条第（三）项 对有本条例第二十七条所列行为之一的，按以下规定予以处罚：责令其停止违法行为，限期改正，采取补救措施，并可处以二十元以上一千元以下的罚款，造成损失的还应赔偿经济损失；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在风景区内，擅自采摘花草、竹笋的 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adjustRightIn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同时符合下列条件：</w:t>
            </w:r>
          </w:p>
          <w:p>
            <w:pPr>
              <w:adjustRightIn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1.初次违法；</w:t>
            </w:r>
          </w:p>
          <w:p>
            <w:pPr>
              <w:adjustRightIn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采摘数量在1株（颗）以下的；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adjustRightIn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认违服管，在限期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内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改正或采取补救措施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；</w:t>
            </w:r>
          </w:p>
          <w:p>
            <w:pPr>
              <w:adjustRightInd w:val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已赔偿损失的；</w:t>
            </w:r>
          </w:p>
          <w:p>
            <w:pPr>
              <w:adjustRightIn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5.没有适用不予行政处罚负面情形的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。</w:t>
            </w:r>
          </w:p>
        </w:tc>
        <w:tc>
          <w:tcPr>
            <w:tcW w:w="4294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《杭州西湖风景名胜区管理条例》第二十七条第（三）项 在风景区内禁止下列行为：(三)攀折、刻划、钉拴、摇晃竹木，损坏绿地草坪，擅自采摘花草、竹笋、果实；</w:t>
            </w:r>
          </w:p>
        </w:tc>
        <w:tc>
          <w:tcPr>
            <w:tcW w:w="4384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《杭州西湖风景名胜区管理条例》第五十四条第（三）项 对有本条例第二十七条所列行为之一的，按以下规定予以处罚：责令其停止违法行为，限期改正，采取补救措施，并可处以二十元以上一千元以下的罚款，造成损失的还应赔偿经济损失；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在风景区内，超出规定区域布设帐篷、摆放桌椅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同时符合下列条件：</w:t>
            </w:r>
          </w:p>
          <w:p>
            <w:pPr>
              <w:adjustRightInd w:val="0"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1.初次违法；</w:t>
            </w:r>
          </w:p>
          <w:p>
            <w:pPr>
              <w:adjustRightInd w:val="0"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违法摆放处数未超过1处；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adjustRightInd w:val="0"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认违服管，在限期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内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改正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；</w:t>
            </w:r>
          </w:p>
          <w:p>
            <w:pPr>
              <w:adjustRightInd w:val="0"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4.没有适用不予行政处罚负面情形的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。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《杭州西湖风景名胜区管理条例》第二十七条第（十一）项 在风景区内禁止下列行为：(十一)超出规定区域布设帐篷、摆放桌椅；</w:t>
            </w:r>
          </w:p>
        </w:tc>
        <w:tc>
          <w:tcPr>
            <w:tcW w:w="4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《杭州西湖风景名胜区管理条例》第五十四条第（三）项 责令其停止违法行为，限期改正，采取补救措施，并可处以二十元以上一千元以下的罚款，造成损失的还应赔偿经济损失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在风景区内，饲养家禽家畜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adjustRightInd w:val="0"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同时符合下列条件：</w:t>
            </w:r>
          </w:p>
          <w:p>
            <w:pPr>
              <w:adjustRightInd w:val="0"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1.初次违法；</w:t>
            </w:r>
          </w:p>
          <w:p>
            <w:pPr>
              <w:adjustRightInd w:val="0"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违法饲养未超过2只；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adjustRightInd w:val="0"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认违服管，在限期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内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改正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；</w:t>
            </w:r>
          </w:p>
          <w:p>
            <w:pPr>
              <w:adjustRightInd w:val="0"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4.没有适用不予行政处罚负面情形的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。</w:t>
            </w:r>
          </w:p>
        </w:tc>
        <w:tc>
          <w:tcPr>
            <w:tcW w:w="4294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《杭州西湖风景名胜区管理条例》第二十七条第（十）项 在风景区内禁止下列行为：(十)饲养家禽家畜；</w:t>
            </w:r>
          </w:p>
        </w:tc>
        <w:tc>
          <w:tcPr>
            <w:tcW w:w="4384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《杭州西湖风景名胜区管理条例》第五十四条第（三）项 对有本条例第二十七条所列行为之一的，按以下规定予以处罚：责令其停止违法行为，限期改正，采取补救措施，并可处以二十元以上一千元以下的罚款，造成损失的还应赔偿经济损失；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从事景区观光游览、养护、管理的电瓶车未经风景区管委会批准，擅自在风景区内行驶的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adjustRightInd w:val="0"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同时符合下列条件：</w:t>
            </w:r>
          </w:p>
          <w:p>
            <w:pPr>
              <w:adjustRightInd w:val="0"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1.初次违法；</w:t>
            </w:r>
          </w:p>
          <w:p>
            <w:pPr>
              <w:adjustRightInd w:val="0"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违法行为持续时间较短；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adjustRightInd w:val="0"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认违服管，在限期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内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改正；</w:t>
            </w:r>
          </w:p>
          <w:p>
            <w:pPr>
              <w:adjustRightInd w:val="0"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4.没有适用不予行政处罚负面情形的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。</w:t>
            </w:r>
          </w:p>
        </w:tc>
        <w:tc>
          <w:tcPr>
            <w:tcW w:w="429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杭州西湖风景名胜区管理条例》第四十五条第一款在风景区内从事景区观光游览、养护、管理的电瓶车及其驾驶员，除依法向有关行政主管部门申领牌(证)照外，还应当经风景区管委会批准，禁止无证营运、无证驾驶。</w:t>
            </w:r>
          </w:p>
        </w:tc>
        <w:tc>
          <w:tcPr>
            <w:tcW w:w="438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《杭州西湖风景名胜区管理条例》第五十七条第（一）项 违反本条例第四十五条规定的，责令其限期改正，并按以下规定予以处罚：处以二百元以下的罚款；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在风景区内建(构)筑物的外墙、屋顶、平台、阳台等处设置、堆放、吊挂破坏景观、有碍观瞻物品的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adjustRightInd w:val="0"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同时符合下列条件：</w:t>
            </w:r>
          </w:p>
          <w:p>
            <w:pPr>
              <w:adjustRightInd w:val="0"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1.初次违法；</w:t>
            </w:r>
          </w:p>
          <w:p>
            <w:pPr>
              <w:adjustRightInd w:val="0"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违法行为不在道路两侧，或景点内的；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adjustRightInd w:val="0"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认违服管，在限期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内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改正；</w:t>
            </w:r>
          </w:p>
          <w:p>
            <w:pPr>
              <w:adjustRightInd w:val="0"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4.没有适用不予行政处罚负面情形的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。</w:t>
            </w:r>
          </w:p>
        </w:tc>
        <w:tc>
          <w:tcPr>
            <w:tcW w:w="429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《杭州西湖风景名胜区管理条例》第四十八条第二款风景区内建(构)筑物的外墙、屋顶、平台、阳台等处不得设置、堆放、吊挂破坏景观、有碍观瞻的物品。</w:t>
            </w:r>
          </w:p>
        </w:tc>
        <w:tc>
          <w:tcPr>
            <w:tcW w:w="438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《杭州西湖风景名胜区管理条例》第五十九条 违反本条例第四十八条第二款规定的，责令其限期改正，并可处以二十元以上二百元以下的罚款。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经营性非机动船舶从业人员，未主动向游客进行保护西湖的宣传，劝阻污染西湖水质的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同时符合下列条件：</w:t>
            </w:r>
          </w:p>
          <w:p>
            <w:pPr>
              <w:adjustRightIn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1.初次违法；</w:t>
            </w:r>
          </w:p>
          <w:p>
            <w:pPr>
              <w:adjustRightInd w:val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认违服管，采取补救措施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；</w:t>
            </w:r>
          </w:p>
          <w:p>
            <w:pPr>
              <w:adjustRightIn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3.没有适用不予行政处罚负面情形的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。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《杭州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西湖水域保护管理条例》第十八条第三款  从业人员应当主动向游客进行保护西湖的宣传，劝阻污染西湖水质的行为，履行保护西湖水域的义务。"</w:t>
            </w:r>
          </w:p>
        </w:tc>
        <w:tc>
          <w:tcPr>
            <w:tcW w:w="4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《杭州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西湖水域保护管理条例》第三十三条违反本条例第十四条、十八条、二十一条规定的,处以一百元以上五百元以下的罚款；……。</w:t>
            </w:r>
          </w:p>
        </w:tc>
      </w:tr>
    </w:tbl>
    <w:p>
      <w:r>
        <w:rPr>
          <w:rFonts w:eastAsia="华文中宋"/>
          <w:b/>
          <w:bCs/>
          <w:kern w:val="32"/>
          <w:sz w:val="36"/>
          <w:szCs w:val="36"/>
        </w:rPr>
        <w:br w:type="page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YmU2MDJkYjEwN2FlNmY0N2Y4Y2MyMjQ2N2NlZTYifQ=="/>
  </w:docVars>
  <w:rsids>
    <w:rsidRoot w:val="301E67B4"/>
    <w:rsid w:val="301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2023-01-03T08:14:00Z</dcterms:created>
  <dc:creator>匿名用户</dc:creator>
  <cp:lastModifiedBy>匿名用户</cp:lastModifiedBy>
  <dcterms:modified xsi:type="dcterms:W3CDTF">2023-01-03T08:14:28Z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54F11CC226904245AAC2DE96BCD9A6ED</vt:lpwstr>
  </property>
</Properties>
</file>