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firstLineChars="200"/>
        <w:jc w:val="right"/>
        <w:rPr>
          <w:rFonts w:eastAsia="仿宋"/>
          <w:b/>
          <w:bCs/>
          <w:sz w:val="44"/>
          <w:szCs w:val="44"/>
        </w:rPr>
      </w:pPr>
      <w:r>
        <w:rPr>
          <w:rFonts w:hint="eastAsia"/>
        </w:rPr>
        <w:t xml:space="preserve"> </w:t>
      </w:r>
      <w:r>
        <w:rPr>
          <w:rFonts w:eastAsia="仿宋"/>
        </w:rPr>
        <w:drawing>
          <wp:inline distT="0" distB="0" distL="114300" distR="114300">
            <wp:extent cx="711835" cy="616585"/>
            <wp:effectExtent l="0" t="0" r="12065" b="12065"/>
            <wp:docPr id="4" name="图片 1" descr="C:\Users\ADMINI~1\AppData\Local\Temp\WeChat Files\4532153af5338566cdec12560ce3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WeChat Files\4532153af5338566cdec12560ce3b78.png"/>
                    <pic:cNvPicPr>
                      <a:picLocks noChangeAspect="1"/>
                    </pic:cNvPicPr>
                  </pic:nvPicPr>
                  <pic:blipFill>
                    <a:blip r:embed="rId7"/>
                    <a:stretch>
                      <a:fillRect/>
                    </a:stretch>
                  </pic:blipFill>
                  <pic:spPr>
                    <a:xfrm>
                      <a:off x="0" y="0"/>
                      <a:ext cx="711835" cy="616585"/>
                    </a:xfrm>
                    <a:prstGeom prst="rect">
                      <a:avLst/>
                    </a:prstGeom>
                    <a:noFill/>
                    <a:ln w="9525">
                      <a:noFill/>
                    </a:ln>
                  </pic:spPr>
                </pic:pic>
              </a:graphicData>
            </a:graphic>
          </wp:inline>
        </w:drawing>
      </w:r>
    </w:p>
    <w:p>
      <w:pPr>
        <w:jc w:val="center"/>
        <w:rPr>
          <w:rFonts w:ascii="黑体" w:hAnsi="黑体" w:eastAsia="黑体" w:cs="黑体"/>
          <w:b/>
          <w:bCs/>
          <w:sz w:val="44"/>
          <w:szCs w:val="44"/>
        </w:rPr>
      </w:pPr>
      <w:r>
        <w:rPr>
          <w:rFonts w:hint="eastAsia" w:ascii="黑体" w:hAnsi="黑体" w:eastAsia="黑体" w:cs="黑体"/>
          <w:b/>
          <w:bCs/>
          <w:sz w:val="44"/>
          <w:szCs w:val="44"/>
        </w:rPr>
        <w:t>杭州西溪国家湿地公园</w:t>
      </w:r>
    </w:p>
    <w:p>
      <w:pPr>
        <w:jc w:val="center"/>
        <w:rPr>
          <w:rFonts w:ascii="黑体" w:hAnsi="黑体" w:eastAsia="黑体" w:cs="黑体"/>
          <w:b/>
          <w:bCs/>
          <w:sz w:val="44"/>
          <w:szCs w:val="44"/>
        </w:rPr>
      </w:pPr>
      <w:r>
        <w:rPr>
          <w:rFonts w:hint="eastAsia" w:ascii="黑体" w:hAnsi="黑体" w:eastAsia="黑体" w:cs="黑体"/>
          <w:b/>
          <w:bCs/>
          <w:sz w:val="44"/>
          <w:szCs w:val="44"/>
        </w:rPr>
        <w:t>生态环境保护“十四五”规划</w:t>
      </w:r>
    </w:p>
    <w:p>
      <w:pPr>
        <w:pStyle w:val="10"/>
        <w:ind w:left="560" w:firstLine="480"/>
        <w:rPr>
          <w:sz w:val="24"/>
          <w:szCs w:val="21"/>
        </w:rPr>
      </w:pPr>
    </w:p>
    <w:p>
      <w:pPr>
        <w:pStyle w:val="10"/>
        <w:spacing w:after="0"/>
        <w:ind w:left="0" w:leftChars="0" w:firstLine="0" w:firstLineChars="0"/>
        <w:jc w:val="left"/>
        <w:rPr>
          <w:rFonts w:eastAsia="仿宋"/>
          <w:sz w:val="24"/>
          <w:szCs w:val="24"/>
        </w:rPr>
      </w:pPr>
    </w:p>
    <w:p>
      <w:pPr>
        <w:pStyle w:val="2"/>
        <w:ind w:left="560" w:firstLine="480"/>
        <w:rPr>
          <w:rFonts w:eastAsia="仿宋"/>
          <w:sz w:val="24"/>
          <w:szCs w:val="24"/>
        </w:rPr>
      </w:pPr>
    </w:p>
    <w:p/>
    <w:p/>
    <w:p>
      <w:pPr>
        <w:jc w:val="center"/>
        <w:rPr>
          <w:rFonts w:eastAsia="仿宋"/>
          <w:bCs/>
          <w:sz w:val="32"/>
          <w:szCs w:val="32"/>
        </w:rPr>
      </w:pPr>
      <w:r>
        <w:rPr>
          <w:rFonts w:hint="eastAsia" w:eastAsia="仿宋"/>
          <w:bCs/>
          <w:sz w:val="32"/>
          <w:szCs w:val="32"/>
        </w:rPr>
        <w:drawing>
          <wp:inline distT="0" distB="0" distL="114300" distR="114300">
            <wp:extent cx="5266690" cy="3543935"/>
            <wp:effectExtent l="0" t="0" r="10160" b="18415"/>
            <wp:docPr id="1" name="图片 2" descr="西溪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西溪湿地"/>
                    <pic:cNvPicPr>
                      <a:picLocks noChangeAspect="1"/>
                    </pic:cNvPicPr>
                  </pic:nvPicPr>
                  <pic:blipFill>
                    <a:blip r:embed="rId8"/>
                    <a:stretch>
                      <a:fillRect/>
                    </a:stretch>
                  </pic:blipFill>
                  <pic:spPr>
                    <a:xfrm>
                      <a:off x="0" y="0"/>
                      <a:ext cx="5266690" cy="3543935"/>
                    </a:xfrm>
                    <a:prstGeom prst="rect">
                      <a:avLst/>
                    </a:prstGeom>
                    <a:noFill/>
                    <a:ln w="9525">
                      <a:noFill/>
                    </a:ln>
                  </pic:spPr>
                </pic:pic>
              </a:graphicData>
            </a:graphic>
          </wp:inline>
        </w:drawing>
      </w:r>
    </w:p>
    <w:p>
      <w:pPr>
        <w:jc w:val="center"/>
        <w:rPr>
          <w:rFonts w:ascii="黑体" w:hAnsi="黑体" w:eastAsia="黑体" w:cs="黑体"/>
          <w:bCs/>
          <w:szCs w:val="28"/>
        </w:rPr>
      </w:pPr>
    </w:p>
    <w:p>
      <w:pPr>
        <w:jc w:val="center"/>
        <w:rPr>
          <w:rFonts w:ascii="黑体" w:hAnsi="黑体" w:eastAsia="黑体" w:cs="黑体"/>
          <w:bCs/>
          <w:szCs w:val="28"/>
        </w:rPr>
      </w:pPr>
      <w:r>
        <w:rPr>
          <w:rFonts w:hint="eastAsia" w:ascii="黑体" w:hAnsi="黑体" w:eastAsia="黑体" w:cs="黑体"/>
          <w:bCs/>
          <w:szCs w:val="28"/>
        </w:rPr>
        <w:t>杭州西溪国家湿地公园管委会</w:t>
      </w:r>
    </w:p>
    <w:p>
      <w:pPr>
        <w:jc w:val="center"/>
        <w:rPr>
          <w:rFonts w:eastAsia="仿宋"/>
          <w:bCs/>
          <w:sz w:val="32"/>
          <w:szCs w:val="32"/>
        </w:rPr>
      </w:pPr>
      <w:r>
        <w:rPr>
          <w:rFonts w:hint="eastAsia" w:ascii="黑体" w:hAnsi="黑体" w:eastAsia="黑体" w:cs="黑体"/>
          <w:bCs/>
          <w:szCs w:val="28"/>
        </w:rPr>
        <w:t>二〇二一年十月</w:t>
      </w:r>
    </w:p>
    <w:p>
      <w:pPr>
        <w:jc w:val="center"/>
        <w:rPr>
          <w:rFonts w:ascii="宋体" w:hAnsi="宋体" w:eastAsia="宋体"/>
          <w:sz w:val="21"/>
          <w:highlight w:val="yellow"/>
        </w:rPr>
        <w:sectPr>
          <w:pgSz w:w="11906" w:h="16838"/>
          <w:pgMar w:top="1440" w:right="1800" w:bottom="1440" w:left="1800" w:header="851" w:footer="992" w:gutter="0"/>
          <w:pgNumType w:fmt="upperRoman" w:start="1"/>
          <w:cols w:space="720" w:num="1"/>
          <w:docGrid w:type="lines" w:linePitch="312" w:charSpace="0"/>
        </w:sectPr>
      </w:pPr>
    </w:p>
    <w:p>
      <w:pPr>
        <w:jc w:val="center"/>
        <w:rPr>
          <w:rFonts w:ascii="黑体" w:hAnsi="黑体" w:eastAsia="黑体" w:cs="黑体"/>
          <w:b/>
          <w:bCs/>
          <w:sz w:val="32"/>
          <w:szCs w:val="24"/>
        </w:rPr>
      </w:pPr>
      <w:bookmarkStart w:id="0" w:name="_Toc12659"/>
      <w:r>
        <w:rPr>
          <w:rFonts w:hint="eastAsia" w:ascii="黑体" w:hAnsi="黑体" w:eastAsia="黑体" w:cs="黑体"/>
          <w:b/>
          <w:bCs/>
          <w:sz w:val="32"/>
          <w:szCs w:val="24"/>
        </w:rPr>
        <w:t>前 言</w:t>
      </w:r>
      <w:bookmarkEnd w:id="0"/>
    </w:p>
    <w:p>
      <w:pPr>
        <w:ind w:firstLine="640" w:firstLineChars="200"/>
        <w:rPr>
          <w:rFonts w:hint="eastAsia" w:ascii="仿宋_GB2312"/>
          <w:sz w:val="32"/>
          <w:szCs w:val="32"/>
        </w:rPr>
      </w:pPr>
      <w:r>
        <w:rPr>
          <w:rFonts w:hint="eastAsia" w:ascii="仿宋_GB2312"/>
          <w:sz w:val="32"/>
          <w:szCs w:val="32"/>
        </w:rPr>
        <w:t>“十四五”时期是我国开启第二个百年</w:t>
      </w:r>
      <w:r>
        <w:rPr>
          <w:rFonts w:hint="eastAsia" w:ascii="仿宋_GB2312"/>
          <w:sz w:val="32"/>
          <w:szCs w:val="32"/>
          <w:lang w:eastAsia="zh-CN"/>
        </w:rPr>
        <w:t>奋斗</w:t>
      </w:r>
      <w:r>
        <w:rPr>
          <w:rFonts w:hint="eastAsia" w:ascii="仿宋_GB2312"/>
          <w:sz w:val="32"/>
          <w:szCs w:val="32"/>
        </w:rPr>
        <w:t>目标，全面建设社会主义现代化国家新征程的开局起步期，党的十九届五中全会将“生态文明建设实现新进步”作为“十四五”时期经济社</w:t>
      </w:r>
      <w:bookmarkStart w:id="924" w:name="_GoBack"/>
      <w:bookmarkEnd w:id="924"/>
      <w:r>
        <w:rPr>
          <w:rFonts w:hint="eastAsia" w:ascii="仿宋_GB2312"/>
          <w:sz w:val="32"/>
          <w:szCs w:val="32"/>
        </w:rPr>
        <w:t>会发展主要目标。省委第十四届八次全会提出要基本实现人与自然和谐共生的现代化，生态环境质量、资源能源集约利用、美丽经济发展全面处于国内领先、国际先进水平，高质量建成“美丽中国先行示范区”，为推动生态环境高水平保护指明了战略方向。</w:t>
      </w:r>
    </w:p>
    <w:p>
      <w:pPr>
        <w:ind w:firstLine="488"/>
        <w:rPr>
          <w:rFonts w:hint="eastAsia" w:ascii="仿宋_GB2312"/>
          <w:sz w:val="32"/>
          <w:szCs w:val="32"/>
        </w:rPr>
      </w:pPr>
      <w:r>
        <w:rPr>
          <w:rFonts w:hint="eastAsia" w:ascii="仿宋_GB2312"/>
          <w:sz w:val="32"/>
          <w:szCs w:val="32"/>
        </w:rPr>
        <w:t>为深入贯彻落实习近平总书记考察浙江、杭州时的重要讲话精神，杭州市委市政府按照“山水相融、湖城合璧、拥江枕河、人水相亲”的发展理念，优化调整管理体制机制，启动了西湖·西溪一体化保护管理，全面破除“碎片化”现象。“十四五”时期是加快实现“双西合璧，精彩蝶变”的重要时期，新时期各项改革日益深入，数智发展日新月异，对西溪湿地的原生态保护提升也提出了更高要求。</w:t>
      </w:r>
    </w:p>
    <w:p>
      <w:pPr>
        <w:ind w:firstLine="640" w:firstLineChars="200"/>
        <w:rPr>
          <w:rFonts w:hint="eastAsia" w:ascii="仿宋_GB2312"/>
          <w:sz w:val="32"/>
          <w:szCs w:val="32"/>
        </w:rPr>
      </w:pPr>
      <w:r>
        <w:rPr>
          <w:rFonts w:hint="eastAsia" w:ascii="仿宋_GB2312"/>
          <w:sz w:val="32"/>
          <w:szCs w:val="32"/>
        </w:rPr>
        <w:t>为积极探索和实践具有西溪湿地特色的生态环境保护新道路，将西溪湿地打造为“世界湿地保护与利用的典范”，准确把握西溪湿地发展新的阶段性特征至关重要。根据国家、省、市的“十四五”生态环境保护规划，结合西溪湿地实际，特编制《杭州西溪国家湿地公园“十四五”生态环境保护规划》（以下简称“规划”）。本次规划范围为西溪国家湿地公园全域，面积10.38平方公里。规划基准年为2020年，规划期限为2021-2025年。</w:t>
      </w:r>
    </w:p>
    <w:p>
      <w:pPr>
        <w:ind w:firstLine="640" w:firstLineChars="200"/>
        <w:rPr>
          <w:rFonts w:hint="eastAsia" w:ascii="仿宋_GB2312"/>
          <w:sz w:val="32"/>
          <w:szCs w:val="32"/>
        </w:rPr>
      </w:pPr>
      <w:r>
        <w:rPr>
          <w:rFonts w:hint="eastAsia" w:ascii="仿宋_GB2312"/>
          <w:sz w:val="32"/>
          <w:szCs w:val="32"/>
        </w:rPr>
        <w:t>规划全面回顾总结“十三五”期间的主要工作成效，阐明“十四五”期间西溪湿地生态环境保护的主要目标，从科学保护湿地生态、积极应对气候变化、系统改善水生态环境、高标准建设“无废湿地”、协同改善环境空气质量、努力打造品质西溪、全面提升保护能力七大方面提出重点任务、重点工程，推动生态环境品质提升。本规划是“十四五”时期杭州西溪国家湿地公园生态环境保护的重要指导性文件。</w:t>
      </w:r>
    </w:p>
    <w:p>
      <w:pPr>
        <w:ind w:firstLine="560" w:firstLineChars="200"/>
        <w:rPr>
          <w:rFonts w:hint="eastAsia" w:ascii="仿宋_GB2312"/>
        </w:rPr>
      </w:pPr>
    </w:p>
    <w:p>
      <w:pPr>
        <w:spacing w:line="360" w:lineRule="auto"/>
        <w:jc w:val="center"/>
        <w:rPr>
          <w:rFonts w:hint="eastAsia" w:ascii="仿宋_GB2312" w:hAnsi="黑体" w:cs="黑体"/>
          <w:b/>
          <w:bCs/>
          <w:sz w:val="32"/>
          <w:szCs w:val="24"/>
        </w:rPr>
        <w:sectPr>
          <w:footerReference r:id="rId3" w:type="default"/>
          <w:pgSz w:w="11906" w:h="16838"/>
          <w:pgMar w:top="1440" w:right="1800" w:bottom="1440" w:left="1800" w:header="851" w:footer="992" w:gutter="0"/>
          <w:pgNumType w:fmt="upperRoman" w:start="1"/>
          <w:cols w:space="720" w:num="1"/>
          <w:docGrid w:type="lines" w:linePitch="312" w:charSpace="0"/>
        </w:sectPr>
      </w:pPr>
    </w:p>
    <w:p>
      <w:pPr>
        <w:spacing w:line="360" w:lineRule="auto"/>
        <w:jc w:val="center"/>
        <w:rPr>
          <w:rFonts w:ascii="黑体" w:hAnsi="黑体" w:eastAsia="黑体" w:cs="黑体"/>
          <w:b/>
          <w:bCs/>
          <w:szCs w:val="28"/>
        </w:rPr>
      </w:pPr>
      <w:r>
        <w:rPr>
          <w:rFonts w:hint="eastAsia" w:ascii="黑体" w:hAnsi="黑体" w:eastAsia="黑体" w:cs="黑体"/>
          <w:b/>
          <w:bCs/>
          <w:szCs w:val="28"/>
        </w:rPr>
        <w:t>目 录</w:t>
      </w:r>
    </w:p>
    <w:p>
      <w:pPr>
        <w:pStyle w:val="8"/>
        <w:tabs>
          <w:tab w:val="right" w:leader="dot" w:pos="8306"/>
        </w:tabs>
        <w:spacing w:line="360" w:lineRule="auto"/>
      </w:pPr>
      <w:r>
        <w:fldChar w:fldCharType="begin"/>
      </w:r>
      <w:r>
        <w:instrText xml:space="preserve">TOC \o "1-2" \h \u </w:instrText>
      </w:r>
      <w:r>
        <w:fldChar w:fldCharType="separate"/>
      </w:r>
      <w:r>
        <w:fldChar w:fldCharType="begin"/>
      </w:r>
      <w:r>
        <w:instrText xml:space="preserve"> HYPERLINK \l _Toc5963 </w:instrText>
      </w:r>
      <w:r>
        <w:fldChar w:fldCharType="separate"/>
      </w:r>
      <w:r>
        <w:rPr>
          <w:rFonts w:hint="eastAsia"/>
        </w:rPr>
        <w:t>第一章 背景与形势</w:t>
      </w:r>
      <w:r>
        <w:tab/>
      </w:r>
      <w:r>
        <w:fldChar w:fldCharType="begin"/>
      </w:r>
      <w:r>
        <w:instrText xml:space="preserve"> PAGEREF _Toc5963 \h </w:instrText>
      </w:r>
      <w:r>
        <w:fldChar w:fldCharType="separate"/>
      </w:r>
      <w:r>
        <w:t>1</w:t>
      </w:r>
      <w:r>
        <w:fldChar w:fldCharType="end"/>
      </w:r>
      <w:r>
        <w:fldChar w:fldCharType="end"/>
      </w:r>
    </w:p>
    <w:p>
      <w:pPr>
        <w:pStyle w:val="9"/>
        <w:tabs>
          <w:tab w:val="right" w:leader="dot" w:pos="8306"/>
        </w:tabs>
        <w:spacing w:line="360" w:lineRule="auto"/>
        <w:ind w:left="560"/>
      </w:pPr>
      <w:r>
        <w:fldChar w:fldCharType="begin"/>
      </w:r>
      <w:r>
        <w:instrText xml:space="preserve"> HYPERLINK \l _Toc21710 </w:instrText>
      </w:r>
      <w:r>
        <w:fldChar w:fldCharType="separate"/>
      </w:r>
      <w:r>
        <w:t>一、</w:t>
      </w:r>
      <w:r>
        <w:rPr>
          <w:rFonts w:hint="eastAsia"/>
        </w:rPr>
        <w:t>“十三五”工作回顾</w:t>
      </w:r>
      <w:r>
        <w:tab/>
      </w:r>
      <w:r>
        <w:fldChar w:fldCharType="begin"/>
      </w:r>
      <w:r>
        <w:instrText xml:space="preserve"> PAGEREF _Toc21710 \h </w:instrText>
      </w:r>
      <w:r>
        <w:fldChar w:fldCharType="separate"/>
      </w:r>
      <w:r>
        <w:t>1</w:t>
      </w:r>
      <w:r>
        <w:fldChar w:fldCharType="end"/>
      </w:r>
      <w:r>
        <w:fldChar w:fldCharType="end"/>
      </w:r>
    </w:p>
    <w:p>
      <w:pPr>
        <w:pStyle w:val="9"/>
        <w:tabs>
          <w:tab w:val="right" w:leader="dot" w:pos="8306"/>
        </w:tabs>
        <w:spacing w:line="360" w:lineRule="auto"/>
        <w:ind w:left="560"/>
      </w:pPr>
      <w:r>
        <w:fldChar w:fldCharType="begin"/>
      </w:r>
      <w:r>
        <w:instrText xml:space="preserve"> HYPERLINK \l _Toc21506 </w:instrText>
      </w:r>
      <w:r>
        <w:fldChar w:fldCharType="separate"/>
      </w:r>
      <w:r>
        <w:rPr>
          <w:rFonts w:hint="eastAsia"/>
        </w:rPr>
        <w:t>二、主要问题分析</w:t>
      </w:r>
      <w:r>
        <w:tab/>
      </w:r>
      <w:r>
        <w:fldChar w:fldCharType="begin"/>
      </w:r>
      <w:r>
        <w:instrText xml:space="preserve"> PAGEREF _Toc21506 \h </w:instrText>
      </w:r>
      <w:r>
        <w:fldChar w:fldCharType="separate"/>
      </w:r>
      <w:r>
        <w:t>6</w:t>
      </w:r>
      <w:r>
        <w:fldChar w:fldCharType="end"/>
      </w:r>
      <w:r>
        <w:fldChar w:fldCharType="end"/>
      </w:r>
    </w:p>
    <w:p>
      <w:pPr>
        <w:pStyle w:val="9"/>
        <w:tabs>
          <w:tab w:val="right" w:leader="dot" w:pos="8306"/>
        </w:tabs>
        <w:spacing w:line="360" w:lineRule="auto"/>
        <w:ind w:left="560"/>
      </w:pPr>
      <w:r>
        <w:fldChar w:fldCharType="begin"/>
      </w:r>
      <w:r>
        <w:instrText xml:space="preserve"> HYPERLINK \l _Toc19360 </w:instrText>
      </w:r>
      <w:r>
        <w:fldChar w:fldCharType="separate"/>
      </w:r>
      <w:r>
        <w:rPr>
          <w:rFonts w:hint="eastAsia"/>
        </w:rPr>
        <w:t>三、“十四五”形势分析</w:t>
      </w:r>
      <w:r>
        <w:tab/>
      </w:r>
      <w:r>
        <w:fldChar w:fldCharType="begin"/>
      </w:r>
      <w:r>
        <w:instrText xml:space="preserve"> PAGEREF _Toc19360 \h </w:instrText>
      </w:r>
      <w:r>
        <w:fldChar w:fldCharType="separate"/>
      </w:r>
      <w:r>
        <w:t>8</w:t>
      </w:r>
      <w:r>
        <w:fldChar w:fldCharType="end"/>
      </w:r>
      <w:r>
        <w:fldChar w:fldCharType="end"/>
      </w:r>
    </w:p>
    <w:p>
      <w:pPr>
        <w:pStyle w:val="8"/>
        <w:tabs>
          <w:tab w:val="right" w:leader="dot" w:pos="8306"/>
        </w:tabs>
        <w:spacing w:line="360" w:lineRule="auto"/>
      </w:pPr>
      <w:r>
        <w:fldChar w:fldCharType="begin"/>
      </w:r>
      <w:r>
        <w:instrText xml:space="preserve"> HYPERLINK \l _Toc28614 </w:instrText>
      </w:r>
      <w:r>
        <w:fldChar w:fldCharType="separate"/>
      </w:r>
      <w:r>
        <w:rPr>
          <w:rFonts w:hint="eastAsia"/>
        </w:rPr>
        <w:t>第二章 总体要求</w:t>
      </w:r>
      <w:r>
        <w:tab/>
      </w:r>
      <w:r>
        <w:fldChar w:fldCharType="begin"/>
      </w:r>
      <w:r>
        <w:instrText xml:space="preserve"> PAGEREF _Toc28614 \h </w:instrText>
      </w:r>
      <w:r>
        <w:fldChar w:fldCharType="separate"/>
      </w:r>
      <w:r>
        <w:t>11</w:t>
      </w:r>
      <w:r>
        <w:fldChar w:fldCharType="end"/>
      </w:r>
      <w:r>
        <w:fldChar w:fldCharType="end"/>
      </w:r>
    </w:p>
    <w:p>
      <w:pPr>
        <w:pStyle w:val="9"/>
        <w:tabs>
          <w:tab w:val="right" w:leader="dot" w:pos="8306"/>
        </w:tabs>
        <w:spacing w:line="360" w:lineRule="auto"/>
        <w:ind w:left="560"/>
      </w:pPr>
      <w:r>
        <w:fldChar w:fldCharType="begin"/>
      </w:r>
      <w:r>
        <w:instrText xml:space="preserve"> HYPERLINK \l _Toc25159 </w:instrText>
      </w:r>
      <w:r>
        <w:fldChar w:fldCharType="separate"/>
      </w:r>
      <w:r>
        <w:t>一、指导思想</w:t>
      </w:r>
      <w:r>
        <w:tab/>
      </w:r>
      <w:r>
        <w:fldChar w:fldCharType="begin"/>
      </w:r>
      <w:r>
        <w:instrText xml:space="preserve"> PAGEREF _Toc25159 \h </w:instrText>
      </w:r>
      <w:r>
        <w:fldChar w:fldCharType="separate"/>
      </w:r>
      <w:r>
        <w:t>11</w:t>
      </w:r>
      <w:r>
        <w:fldChar w:fldCharType="end"/>
      </w:r>
      <w:r>
        <w:fldChar w:fldCharType="end"/>
      </w:r>
    </w:p>
    <w:p>
      <w:pPr>
        <w:pStyle w:val="9"/>
        <w:tabs>
          <w:tab w:val="right" w:leader="dot" w:pos="8306"/>
        </w:tabs>
        <w:spacing w:line="360" w:lineRule="auto"/>
        <w:ind w:left="560"/>
      </w:pPr>
      <w:r>
        <w:fldChar w:fldCharType="begin"/>
      </w:r>
      <w:r>
        <w:instrText xml:space="preserve"> HYPERLINK \l _Toc11804 </w:instrText>
      </w:r>
      <w:r>
        <w:fldChar w:fldCharType="separate"/>
      </w:r>
      <w:r>
        <w:t>二、基本原则</w:t>
      </w:r>
      <w:r>
        <w:tab/>
      </w:r>
      <w:r>
        <w:fldChar w:fldCharType="begin"/>
      </w:r>
      <w:r>
        <w:instrText xml:space="preserve"> PAGEREF _Toc11804 \h </w:instrText>
      </w:r>
      <w:r>
        <w:fldChar w:fldCharType="separate"/>
      </w:r>
      <w:r>
        <w:t>11</w:t>
      </w:r>
      <w:r>
        <w:fldChar w:fldCharType="end"/>
      </w:r>
      <w:r>
        <w:fldChar w:fldCharType="end"/>
      </w:r>
    </w:p>
    <w:p>
      <w:pPr>
        <w:pStyle w:val="9"/>
        <w:tabs>
          <w:tab w:val="right" w:leader="dot" w:pos="8306"/>
        </w:tabs>
        <w:spacing w:line="360" w:lineRule="auto"/>
        <w:ind w:left="560"/>
      </w:pPr>
      <w:r>
        <w:fldChar w:fldCharType="begin"/>
      </w:r>
      <w:r>
        <w:instrText xml:space="preserve"> HYPERLINK \l _Toc24578 </w:instrText>
      </w:r>
      <w:r>
        <w:fldChar w:fldCharType="separate"/>
      </w:r>
      <w:r>
        <w:t>三、</w:t>
      </w:r>
      <w:r>
        <w:rPr>
          <w:rFonts w:hint="eastAsia"/>
        </w:rPr>
        <w:t>编制依据</w:t>
      </w:r>
      <w:r>
        <w:tab/>
      </w:r>
      <w:r>
        <w:fldChar w:fldCharType="begin"/>
      </w:r>
      <w:r>
        <w:instrText xml:space="preserve"> PAGEREF _Toc24578 \h </w:instrText>
      </w:r>
      <w:r>
        <w:fldChar w:fldCharType="separate"/>
      </w:r>
      <w:r>
        <w:t>12</w:t>
      </w:r>
      <w:r>
        <w:fldChar w:fldCharType="end"/>
      </w:r>
      <w:r>
        <w:fldChar w:fldCharType="end"/>
      </w:r>
    </w:p>
    <w:p>
      <w:pPr>
        <w:pStyle w:val="9"/>
        <w:tabs>
          <w:tab w:val="right" w:leader="dot" w:pos="8306"/>
        </w:tabs>
        <w:spacing w:line="360" w:lineRule="auto"/>
        <w:ind w:left="560"/>
      </w:pPr>
      <w:r>
        <w:fldChar w:fldCharType="begin"/>
      </w:r>
      <w:r>
        <w:instrText xml:space="preserve"> HYPERLINK \l _Toc19410 </w:instrText>
      </w:r>
      <w:r>
        <w:fldChar w:fldCharType="separate"/>
      </w:r>
      <w:r>
        <w:rPr>
          <w:rFonts w:hint="eastAsia"/>
        </w:rPr>
        <w:t>四、</w:t>
      </w:r>
      <w:r>
        <w:t>目标指标</w:t>
      </w:r>
      <w:r>
        <w:tab/>
      </w:r>
      <w:r>
        <w:fldChar w:fldCharType="begin"/>
      </w:r>
      <w:r>
        <w:instrText xml:space="preserve"> PAGEREF _Toc19410 \h </w:instrText>
      </w:r>
      <w:r>
        <w:fldChar w:fldCharType="separate"/>
      </w:r>
      <w:r>
        <w:t>14</w:t>
      </w:r>
      <w:r>
        <w:fldChar w:fldCharType="end"/>
      </w:r>
      <w:r>
        <w:fldChar w:fldCharType="end"/>
      </w:r>
    </w:p>
    <w:p>
      <w:pPr>
        <w:pStyle w:val="8"/>
        <w:tabs>
          <w:tab w:val="right" w:leader="dot" w:pos="8306"/>
        </w:tabs>
        <w:spacing w:line="360" w:lineRule="auto"/>
      </w:pPr>
      <w:r>
        <w:fldChar w:fldCharType="begin"/>
      </w:r>
      <w:r>
        <w:instrText xml:space="preserve"> HYPERLINK \l _Toc32461 </w:instrText>
      </w:r>
      <w:r>
        <w:fldChar w:fldCharType="separate"/>
      </w:r>
      <w:r>
        <w:rPr>
          <w:rFonts w:hint="eastAsia"/>
        </w:rPr>
        <w:t>第三章 重点领域和主要任务</w:t>
      </w:r>
      <w:r>
        <w:tab/>
      </w:r>
      <w:r>
        <w:fldChar w:fldCharType="begin"/>
      </w:r>
      <w:r>
        <w:instrText xml:space="preserve"> PAGEREF _Toc32461 \h </w:instrText>
      </w:r>
      <w:r>
        <w:fldChar w:fldCharType="separate"/>
      </w:r>
      <w:r>
        <w:t>16</w:t>
      </w:r>
      <w:r>
        <w:fldChar w:fldCharType="end"/>
      </w:r>
      <w:r>
        <w:fldChar w:fldCharType="end"/>
      </w:r>
    </w:p>
    <w:p>
      <w:pPr>
        <w:pStyle w:val="9"/>
        <w:tabs>
          <w:tab w:val="right" w:leader="dot" w:pos="8306"/>
        </w:tabs>
        <w:spacing w:line="360" w:lineRule="auto"/>
        <w:ind w:left="560"/>
      </w:pPr>
      <w:r>
        <w:fldChar w:fldCharType="begin"/>
      </w:r>
      <w:r>
        <w:instrText xml:space="preserve"> HYPERLINK \l _Toc20941 </w:instrText>
      </w:r>
      <w:r>
        <w:fldChar w:fldCharType="separate"/>
      </w:r>
      <w:r>
        <w:rPr>
          <w:rFonts w:hint="eastAsia"/>
        </w:rPr>
        <w:t>一</w:t>
      </w:r>
      <w:r>
        <w:t>、加强生态保护，</w:t>
      </w:r>
      <w:r>
        <w:rPr>
          <w:rFonts w:hint="eastAsia"/>
        </w:rPr>
        <w:t>筑牢自然生态本底</w:t>
      </w:r>
      <w:r>
        <w:tab/>
      </w:r>
      <w:r>
        <w:fldChar w:fldCharType="begin"/>
      </w:r>
      <w:r>
        <w:instrText xml:space="preserve"> PAGEREF _Toc20941 \h </w:instrText>
      </w:r>
      <w:r>
        <w:fldChar w:fldCharType="separate"/>
      </w:r>
      <w:r>
        <w:t>16</w:t>
      </w:r>
      <w:r>
        <w:fldChar w:fldCharType="end"/>
      </w:r>
      <w:r>
        <w:fldChar w:fldCharType="end"/>
      </w:r>
    </w:p>
    <w:p>
      <w:pPr>
        <w:pStyle w:val="9"/>
        <w:tabs>
          <w:tab w:val="right" w:leader="dot" w:pos="8306"/>
        </w:tabs>
        <w:spacing w:line="360" w:lineRule="auto"/>
        <w:ind w:left="560"/>
      </w:pPr>
      <w:r>
        <w:fldChar w:fldCharType="begin"/>
      </w:r>
      <w:r>
        <w:instrText xml:space="preserve"> HYPERLINK \l _Toc26471 </w:instrText>
      </w:r>
      <w:r>
        <w:fldChar w:fldCharType="separate"/>
      </w:r>
      <w:r>
        <w:rPr>
          <w:rFonts w:hint="eastAsia"/>
        </w:rPr>
        <w:t>二、推进碳排放达峰，积极应对气候变化</w:t>
      </w:r>
      <w:r>
        <w:tab/>
      </w:r>
      <w:r>
        <w:fldChar w:fldCharType="begin"/>
      </w:r>
      <w:r>
        <w:instrText xml:space="preserve"> PAGEREF _Toc26471 \h </w:instrText>
      </w:r>
      <w:r>
        <w:fldChar w:fldCharType="separate"/>
      </w:r>
      <w:r>
        <w:t>18</w:t>
      </w:r>
      <w:r>
        <w:fldChar w:fldCharType="end"/>
      </w:r>
      <w:r>
        <w:fldChar w:fldCharType="end"/>
      </w:r>
    </w:p>
    <w:p>
      <w:pPr>
        <w:pStyle w:val="9"/>
        <w:tabs>
          <w:tab w:val="right" w:leader="dot" w:pos="8306"/>
        </w:tabs>
        <w:spacing w:line="360" w:lineRule="auto"/>
        <w:ind w:left="560"/>
      </w:pPr>
      <w:r>
        <w:fldChar w:fldCharType="begin"/>
      </w:r>
      <w:r>
        <w:instrText xml:space="preserve"> HYPERLINK \l _Toc17274 </w:instrText>
      </w:r>
      <w:r>
        <w:fldChar w:fldCharType="separate"/>
      </w:r>
      <w:r>
        <w:rPr>
          <w:rFonts w:hint="eastAsia"/>
        </w:rPr>
        <w:t>三</w:t>
      </w:r>
      <w:r>
        <w:t>、</w:t>
      </w:r>
      <w:r>
        <w:rPr>
          <w:rFonts w:hint="eastAsia"/>
        </w:rPr>
        <w:t>实施系统治理</w:t>
      </w:r>
      <w:r>
        <w:t>，</w:t>
      </w:r>
      <w:r>
        <w:rPr>
          <w:rFonts w:hint="eastAsia"/>
        </w:rPr>
        <w:t>稳步提升水生态</w:t>
      </w:r>
      <w:r>
        <w:t>环境</w:t>
      </w:r>
      <w:r>
        <w:tab/>
      </w:r>
      <w:r>
        <w:fldChar w:fldCharType="begin"/>
      </w:r>
      <w:r>
        <w:instrText xml:space="preserve"> PAGEREF _Toc17274 \h </w:instrText>
      </w:r>
      <w:r>
        <w:fldChar w:fldCharType="separate"/>
      </w:r>
      <w:r>
        <w:t>20</w:t>
      </w:r>
      <w:r>
        <w:fldChar w:fldCharType="end"/>
      </w:r>
      <w:r>
        <w:fldChar w:fldCharType="end"/>
      </w:r>
    </w:p>
    <w:p>
      <w:pPr>
        <w:pStyle w:val="9"/>
        <w:tabs>
          <w:tab w:val="right" w:leader="dot" w:pos="8306"/>
        </w:tabs>
        <w:spacing w:line="360" w:lineRule="auto"/>
        <w:ind w:left="560"/>
      </w:pPr>
      <w:r>
        <w:fldChar w:fldCharType="begin"/>
      </w:r>
      <w:r>
        <w:instrText xml:space="preserve"> HYPERLINK \l _Toc16015 </w:instrText>
      </w:r>
      <w:r>
        <w:fldChar w:fldCharType="separate"/>
      </w:r>
      <w:r>
        <w:rPr>
          <w:rFonts w:hint="eastAsia"/>
        </w:rPr>
        <w:t>四</w:t>
      </w:r>
      <w:r>
        <w:t>、聚焦闭环管理</w:t>
      </w:r>
      <w:r>
        <w:rPr>
          <w:rFonts w:hint="eastAsia"/>
        </w:rPr>
        <w:t>，建设“无废湿地”</w:t>
      </w:r>
      <w:r>
        <w:tab/>
      </w:r>
      <w:r>
        <w:fldChar w:fldCharType="begin"/>
      </w:r>
      <w:r>
        <w:instrText xml:space="preserve"> PAGEREF _Toc16015 \h </w:instrText>
      </w:r>
      <w:r>
        <w:fldChar w:fldCharType="separate"/>
      </w:r>
      <w:r>
        <w:t>24</w:t>
      </w:r>
      <w:r>
        <w:fldChar w:fldCharType="end"/>
      </w:r>
      <w:r>
        <w:fldChar w:fldCharType="end"/>
      </w:r>
    </w:p>
    <w:p>
      <w:pPr>
        <w:pStyle w:val="9"/>
        <w:tabs>
          <w:tab w:val="right" w:leader="dot" w:pos="8306"/>
        </w:tabs>
        <w:spacing w:line="360" w:lineRule="auto"/>
        <w:ind w:left="560"/>
      </w:pPr>
      <w:r>
        <w:fldChar w:fldCharType="begin"/>
      </w:r>
      <w:r>
        <w:instrText xml:space="preserve"> HYPERLINK \l _Toc11671 </w:instrText>
      </w:r>
      <w:r>
        <w:fldChar w:fldCharType="separate"/>
      </w:r>
      <w:r>
        <w:rPr>
          <w:rFonts w:hint="eastAsia"/>
        </w:rPr>
        <w:t>五</w:t>
      </w:r>
      <w:r>
        <w:t>、</w:t>
      </w:r>
      <w:r>
        <w:rPr>
          <w:rFonts w:hint="eastAsia"/>
        </w:rPr>
        <w:t>加强协同控制，持续改善环境空气质量</w:t>
      </w:r>
      <w:r>
        <w:tab/>
      </w:r>
      <w:r>
        <w:fldChar w:fldCharType="begin"/>
      </w:r>
      <w:r>
        <w:instrText xml:space="preserve"> PAGEREF _Toc11671 \h </w:instrText>
      </w:r>
      <w:r>
        <w:fldChar w:fldCharType="separate"/>
      </w:r>
      <w:r>
        <w:t>25</w:t>
      </w:r>
      <w:r>
        <w:fldChar w:fldCharType="end"/>
      </w:r>
      <w:r>
        <w:fldChar w:fldCharType="end"/>
      </w:r>
    </w:p>
    <w:p>
      <w:pPr>
        <w:pStyle w:val="9"/>
        <w:tabs>
          <w:tab w:val="right" w:leader="dot" w:pos="8306"/>
        </w:tabs>
        <w:spacing w:line="360" w:lineRule="auto"/>
        <w:ind w:left="560"/>
      </w:pPr>
      <w:r>
        <w:fldChar w:fldCharType="begin"/>
      </w:r>
      <w:r>
        <w:instrText xml:space="preserve"> HYPERLINK \l _Toc21786 </w:instrText>
      </w:r>
      <w:r>
        <w:fldChar w:fldCharType="separate"/>
      </w:r>
      <w:r>
        <w:rPr>
          <w:rFonts w:hint="eastAsia"/>
        </w:rPr>
        <w:t>六</w:t>
      </w:r>
      <w:r>
        <w:t>、厚植文化底色，打造品质西溪</w:t>
      </w:r>
      <w:r>
        <w:tab/>
      </w:r>
      <w:r>
        <w:fldChar w:fldCharType="begin"/>
      </w:r>
      <w:r>
        <w:instrText xml:space="preserve"> PAGEREF _Toc21786 \h </w:instrText>
      </w:r>
      <w:r>
        <w:fldChar w:fldCharType="separate"/>
      </w:r>
      <w:r>
        <w:t>27</w:t>
      </w:r>
      <w:r>
        <w:fldChar w:fldCharType="end"/>
      </w:r>
      <w:r>
        <w:fldChar w:fldCharType="end"/>
      </w:r>
    </w:p>
    <w:p>
      <w:pPr>
        <w:pStyle w:val="9"/>
        <w:tabs>
          <w:tab w:val="right" w:leader="dot" w:pos="8306"/>
        </w:tabs>
        <w:spacing w:line="360" w:lineRule="auto"/>
        <w:ind w:left="560"/>
      </w:pPr>
      <w:r>
        <w:fldChar w:fldCharType="begin"/>
      </w:r>
      <w:r>
        <w:instrText xml:space="preserve"> HYPERLINK \l _Toc108 </w:instrText>
      </w:r>
      <w:r>
        <w:fldChar w:fldCharType="separate"/>
      </w:r>
      <w:r>
        <w:rPr>
          <w:rFonts w:hint="eastAsia"/>
        </w:rPr>
        <w:t>七</w:t>
      </w:r>
      <w:r>
        <w:t>、增强能力建设，</w:t>
      </w:r>
      <w:r>
        <w:rPr>
          <w:rFonts w:hint="eastAsia"/>
        </w:rPr>
        <w:t>发挥湿地生态服务功能</w:t>
      </w:r>
      <w:r>
        <w:tab/>
      </w:r>
      <w:r>
        <w:fldChar w:fldCharType="begin"/>
      </w:r>
      <w:r>
        <w:instrText xml:space="preserve"> PAGEREF _Toc108 \h </w:instrText>
      </w:r>
      <w:r>
        <w:fldChar w:fldCharType="separate"/>
      </w:r>
      <w:r>
        <w:t>28</w:t>
      </w:r>
      <w:r>
        <w:fldChar w:fldCharType="end"/>
      </w:r>
      <w:r>
        <w:fldChar w:fldCharType="end"/>
      </w:r>
    </w:p>
    <w:p>
      <w:pPr>
        <w:pStyle w:val="8"/>
        <w:tabs>
          <w:tab w:val="right" w:leader="dot" w:pos="8306"/>
        </w:tabs>
        <w:spacing w:line="360" w:lineRule="auto"/>
      </w:pPr>
      <w:r>
        <w:fldChar w:fldCharType="begin"/>
      </w:r>
      <w:r>
        <w:instrText xml:space="preserve"> HYPERLINK \l _Toc22997 </w:instrText>
      </w:r>
      <w:r>
        <w:fldChar w:fldCharType="separate"/>
      </w:r>
      <w:r>
        <w:rPr>
          <w:rFonts w:hint="eastAsia"/>
        </w:rPr>
        <w:t>第四章 “十四五”生态</w:t>
      </w:r>
      <w:r>
        <w:t>环境保护重点工程</w:t>
      </w:r>
      <w:r>
        <w:tab/>
      </w:r>
      <w:r>
        <w:fldChar w:fldCharType="begin"/>
      </w:r>
      <w:r>
        <w:instrText xml:space="preserve"> PAGEREF _Toc22997 \h </w:instrText>
      </w:r>
      <w:r>
        <w:fldChar w:fldCharType="separate"/>
      </w:r>
      <w:r>
        <w:t>33</w:t>
      </w:r>
      <w:r>
        <w:fldChar w:fldCharType="end"/>
      </w:r>
      <w:r>
        <w:fldChar w:fldCharType="end"/>
      </w:r>
    </w:p>
    <w:p>
      <w:pPr>
        <w:pStyle w:val="8"/>
        <w:tabs>
          <w:tab w:val="right" w:leader="dot" w:pos="8306"/>
        </w:tabs>
        <w:spacing w:line="360" w:lineRule="auto"/>
      </w:pPr>
      <w:r>
        <w:fldChar w:fldCharType="begin"/>
      </w:r>
      <w:r>
        <w:instrText xml:space="preserve"> HYPERLINK \l _Toc14511 </w:instrText>
      </w:r>
      <w:r>
        <w:fldChar w:fldCharType="separate"/>
      </w:r>
      <w:r>
        <w:rPr>
          <w:rFonts w:hint="eastAsia"/>
        </w:rPr>
        <w:t>第五章 保障措施</w:t>
      </w:r>
      <w:r>
        <w:tab/>
      </w:r>
      <w:r>
        <w:fldChar w:fldCharType="begin"/>
      </w:r>
      <w:r>
        <w:instrText xml:space="preserve"> PAGEREF _Toc14511 \h </w:instrText>
      </w:r>
      <w:r>
        <w:fldChar w:fldCharType="separate"/>
      </w:r>
      <w:r>
        <w:t>36</w:t>
      </w:r>
      <w:r>
        <w:fldChar w:fldCharType="end"/>
      </w:r>
      <w:r>
        <w:fldChar w:fldCharType="end"/>
      </w:r>
    </w:p>
    <w:p>
      <w:pPr>
        <w:pStyle w:val="9"/>
        <w:tabs>
          <w:tab w:val="right" w:leader="dot" w:pos="8306"/>
        </w:tabs>
        <w:spacing w:line="360" w:lineRule="auto"/>
        <w:ind w:left="560"/>
      </w:pPr>
      <w:r>
        <w:fldChar w:fldCharType="begin"/>
      </w:r>
      <w:r>
        <w:instrText xml:space="preserve"> HYPERLINK \l _Toc9035 </w:instrText>
      </w:r>
      <w:r>
        <w:fldChar w:fldCharType="separate"/>
      </w:r>
      <w:r>
        <w:t>一、</w:t>
      </w:r>
      <w:r>
        <w:rPr>
          <w:rFonts w:hint="eastAsia"/>
        </w:rPr>
        <w:t>加强</w:t>
      </w:r>
      <w:r>
        <w:t>组织领导，</w:t>
      </w:r>
      <w:r>
        <w:rPr>
          <w:rFonts w:hint="eastAsia"/>
        </w:rPr>
        <w:t>强化协调联动</w:t>
      </w:r>
      <w:r>
        <w:tab/>
      </w:r>
      <w:r>
        <w:fldChar w:fldCharType="begin"/>
      </w:r>
      <w:r>
        <w:instrText xml:space="preserve"> PAGEREF _Toc9035 \h </w:instrText>
      </w:r>
      <w:r>
        <w:fldChar w:fldCharType="separate"/>
      </w:r>
      <w:r>
        <w:t>36</w:t>
      </w:r>
      <w:r>
        <w:fldChar w:fldCharType="end"/>
      </w:r>
      <w:r>
        <w:fldChar w:fldCharType="end"/>
      </w:r>
    </w:p>
    <w:p>
      <w:pPr>
        <w:pStyle w:val="9"/>
        <w:tabs>
          <w:tab w:val="right" w:leader="dot" w:pos="8306"/>
        </w:tabs>
        <w:spacing w:line="360" w:lineRule="auto"/>
        <w:ind w:left="560"/>
      </w:pPr>
      <w:r>
        <w:fldChar w:fldCharType="begin"/>
      </w:r>
      <w:r>
        <w:instrText xml:space="preserve"> HYPERLINK \l _Toc13482 </w:instrText>
      </w:r>
      <w:r>
        <w:fldChar w:fldCharType="separate"/>
      </w:r>
      <w:r>
        <w:t>二、</w:t>
      </w:r>
      <w:r>
        <w:rPr>
          <w:rFonts w:hint="eastAsia"/>
        </w:rPr>
        <w:t>加大资金投入，强化科技创新</w:t>
      </w:r>
      <w:r>
        <w:tab/>
      </w:r>
      <w:r>
        <w:fldChar w:fldCharType="begin"/>
      </w:r>
      <w:r>
        <w:instrText xml:space="preserve"> PAGEREF _Toc13482 \h </w:instrText>
      </w:r>
      <w:r>
        <w:fldChar w:fldCharType="separate"/>
      </w:r>
      <w:r>
        <w:t>36</w:t>
      </w:r>
      <w:r>
        <w:fldChar w:fldCharType="end"/>
      </w:r>
      <w:r>
        <w:fldChar w:fldCharType="end"/>
      </w:r>
    </w:p>
    <w:p>
      <w:pPr>
        <w:pStyle w:val="9"/>
        <w:tabs>
          <w:tab w:val="right" w:leader="dot" w:pos="8306"/>
        </w:tabs>
        <w:spacing w:line="360" w:lineRule="auto"/>
        <w:ind w:left="560"/>
      </w:pPr>
      <w:r>
        <w:fldChar w:fldCharType="begin"/>
      </w:r>
      <w:r>
        <w:instrText xml:space="preserve"> HYPERLINK \l _Toc6375 </w:instrText>
      </w:r>
      <w:r>
        <w:fldChar w:fldCharType="separate"/>
      </w:r>
      <w:r>
        <w:t>三、</w:t>
      </w:r>
      <w:r>
        <w:rPr>
          <w:rFonts w:hint="eastAsia"/>
        </w:rPr>
        <w:t>加强宣传引导，推动社会监督</w:t>
      </w:r>
      <w:r>
        <w:tab/>
      </w:r>
      <w:r>
        <w:fldChar w:fldCharType="begin"/>
      </w:r>
      <w:r>
        <w:instrText xml:space="preserve"> PAGEREF _Toc6375 \h </w:instrText>
      </w:r>
      <w:r>
        <w:fldChar w:fldCharType="separate"/>
      </w:r>
      <w:r>
        <w:t>36</w:t>
      </w:r>
      <w:r>
        <w:fldChar w:fldCharType="end"/>
      </w:r>
      <w:r>
        <w:fldChar w:fldCharType="end"/>
      </w:r>
    </w:p>
    <w:p>
      <w:pPr>
        <w:pStyle w:val="9"/>
        <w:tabs>
          <w:tab w:val="right" w:leader="dot" w:pos="8306"/>
        </w:tabs>
        <w:spacing w:line="360" w:lineRule="auto"/>
        <w:ind w:left="560"/>
      </w:pPr>
      <w:r>
        <w:fldChar w:fldCharType="begin"/>
      </w:r>
      <w:r>
        <w:instrText xml:space="preserve"> HYPERLINK \l _Toc16212 </w:instrText>
      </w:r>
      <w:r>
        <w:fldChar w:fldCharType="separate"/>
      </w:r>
      <w:r>
        <w:t>四、</w:t>
      </w:r>
      <w:r>
        <w:rPr>
          <w:rFonts w:hint="eastAsia"/>
        </w:rPr>
        <w:t>强化评估考核，促进规划实施</w:t>
      </w:r>
      <w:r>
        <w:tab/>
      </w:r>
      <w:r>
        <w:fldChar w:fldCharType="begin"/>
      </w:r>
      <w:r>
        <w:instrText xml:space="preserve"> PAGEREF _Toc16212 \h </w:instrText>
      </w:r>
      <w:r>
        <w:fldChar w:fldCharType="separate"/>
      </w:r>
      <w:r>
        <w:t>37</w:t>
      </w:r>
      <w:r>
        <w:fldChar w:fldCharType="end"/>
      </w:r>
      <w:r>
        <w:fldChar w:fldCharType="end"/>
      </w:r>
    </w:p>
    <w:p>
      <w:pPr>
        <w:pStyle w:val="8"/>
        <w:tabs>
          <w:tab w:val="right" w:leader="dot" w:pos="8306"/>
        </w:tabs>
        <w:spacing w:line="360" w:lineRule="auto"/>
      </w:pPr>
      <w:r>
        <w:fldChar w:fldCharType="begin"/>
      </w:r>
      <w:r>
        <w:instrText xml:space="preserve"> HYPERLINK \l _Toc15888 </w:instrText>
      </w:r>
      <w:r>
        <w:fldChar w:fldCharType="separate"/>
      </w:r>
      <w:r>
        <w:rPr>
          <w:rFonts w:hint="eastAsia" w:ascii="黑体" w:hAnsi="黑体" w:cs="黑体"/>
          <w:bCs/>
          <w:szCs w:val="24"/>
        </w:rPr>
        <w:t>附图</w:t>
      </w:r>
      <w:r>
        <w:tab/>
      </w:r>
      <w:r>
        <w:fldChar w:fldCharType="begin"/>
      </w:r>
      <w:r>
        <w:instrText xml:space="preserve"> PAGEREF _Toc15888 \h </w:instrText>
      </w:r>
      <w:r>
        <w:fldChar w:fldCharType="separate"/>
      </w:r>
      <w:r>
        <w:t>38</w:t>
      </w:r>
      <w:r>
        <w:fldChar w:fldCharType="end"/>
      </w:r>
      <w:r>
        <w:fldChar w:fldCharType="end"/>
      </w:r>
    </w:p>
    <w:p>
      <w:pPr>
        <w:pStyle w:val="8"/>
        <w:tabs>
          <w:tab w:val="right" w:leader="dot" w:pos="8306"/>
        </w:tabs>
        <w:spacing w:line="360" w:lineRule="auto"/>
      </w:pPr>
    </w:p>
    <w:p>
      <w:pPr>
        <w:spacing w:line="360" w:lineRule="auto"/>
      </w:pPr>
      <w:r>
        <w:fldChar w:fldCharType="end"/>
      </w:r>
    </w:p>
    <w:p>
      <w:pPr>
        <w:jc w:val="center"/>
        <w:rPr>
          <w:rFonts w:ascii="黑体" w:hAnsi="黑体" w:eastAsia="黑体" w:cs="黑体"/>
          <w:b/>
          <w:bCs/>
          <w:sz w:val="32"/>
          <w:szCs w:val="24"/>
        </w:rPr>
        <w:sectPr>
          <w:footerReference r:id="rId4" w:type="default"/>
          <w:pgSz w:w="11906" w:h="16838"/>
          <w:pgMar w:top="1440" w:right="1800" w:bottom="1440" w:left="1800" w:header="851" w:footer="992" w:gutter="0"/>
          <w:pgNumType w:fmt="upperRoman" w:start="1"/>
          <w:cols w:space="720" w:num="1"/>
          <w:docGrid w:type="lines" w:linePitch="312" w:charSpace="0"/>
        </w:sectPr>
      </w:pPr>
    </w:p>
    <w:p>
      <w:pPr>
        <w:pStyle w:val="4"/>
      </w:pPr>
      <w:bookmarkStart w:id="1" w:name="_Toc6961"/>
      <w:bookmarkStart w:id="2" w:name="_Toc19313"/>
      <w:bookmarkStart w:id="3" w:name="_Toc5762"/>
      <w:bookmarkStart w:id="4" w:name="_Toc27274"/>
      <w:bookmarkStart w:id="5" w:name="_Toc9585"/>
      <w:bookmarkStart w:id="6" w:name="_Toc28465"/>
      <w:bookmarkStart w:id="7" w:name="_Toc24502"/>
      <w:bookmarkStart w:id="8" w:name="_Toc19342"/>
      <w:bookmarkStart w:id="9" w:name="_Toc4449"/>
      <w:bookmarkStart w:id="10" w:name="_Toc1314"/>
      <w:bookmarkStart w:id="11" w:name="_Toc29867"/>
      <w:bookmarkStart w:id="12" w:name="_Toc18781"/>
      <w:bookmarkStart w:id="13" w:name="_Toc26921"/>
      <w:bookmarkStart w:id="14" w:name="_Toc17451"/>
      <w:bookmarkStart w:id="15" w:name="_Toc23655"/>
      <w:bookmarkStart w:id="16" w:name="_Toc15879"/>
      <w:bookmarkStart w:id="17" w:name="_Toc15157"/>
      <w:bookmarkStart w:id="18" w:name="_Toc5963"/>
      <w:bookmarkStart w:id="19" w:name="_Toc24901"/>
      <w:bookmarkStart w:id="20" w:name="_Toc23282"/>
      <w:bookmarkStart w:id="21" w:name="_Toc1821"/>
      <w:bookmarkStart w:id="22" w:name="_Toc28191"/>
      <w:bookmarkStart w:id="23" w:name="_Toc30979"/>
      <w:bookmarkStart w:id="24" w:name="_Toc29467"/>
      <w:bookmarkStart w:id="25" w:name="_Toc587"/>
      <w:bookmarkStart w:id="26" w:name="_Toc16452"/>
      <w:bookmarkStart w:id="27" w:name="_Toc878"/>
      <w:bookmarkStart w:id="28" w:name="_Toc29453"/>
      <w:bookmarkStart w:id="29" w:name="_Toc22106"/>
      <w:r>
        <w:rPr>
          <w:rFonts w:hint="eastAsia"/>
        </w:rPr>
        <w:t xml:space="preserve">第一章 </w:t>
      </w:r>
      <w:bookmarkEnd w:id="1"/>
      <w:bookmarkEnd w:id="2"/>
      <w:bookmarkEnd w:id="3"/>
      <w:bookmarkEnd w:id="4"/>
      <w:bookmarkEnd w:id="5"/>
      <w:bookmarkEnd w:id="6"/>
      <w:bookmarkEnd w:id="7"/>
      <w:bookmarkEnd w:id="8"/>
      <w:bookmarkEnd w:id="9"/>
      <w:r>
        <w:rPr>
          <w:rFonts w:hint="eastAsia"/>
        </w:rPr>
        <w:t>背景与形势</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5"/>
      </w:pPr>
      <w:bookmarkStart w:id="30" w:name="_Toc118"/>
      <w:bookmarkStart w:id="31" w:name="_Toc27838"/>
      <w:bookmarkStart w:id="32" w:name="_Toc5839"/>
      <w:bookmarkStart w:id="33" w:name="_Toc21710"/>
      <w:bookmarkStart w:id="34" w:name="_Toc27857"/>
      <w:bookmarkStart w:id="35" w:name="_Toc13033"/>
      <w:bookmarkStart w:id="36" w:name="_Toc14744"/>
      <w:bookmarkStart w:id="37" w:name="_Toc5528"/>
      <w:bookmarkStart w:id="38" w:name="_Toc23476"/>
      <w:bookmarkStart w:id="39" w:name="_Toc26882"/>
      <w:bookmarkStart w:id="40" w:name="_Toc7340"/>
      <w:bookmarkStart w:id="41" w:name="_Toc4413"/>
      <w:bookmarkStart w:id="42" w:name="_Toc14037"/>
      <w:bookmarkStart w:id="43" w:name="_Toc5971"/>
      <w:bookmarkStart w:id="44" w:name="_Toc11888"/>
      <w:bookmarkStart w:id="45" w:name="_Toc6883"/>
      <w:bookmarkStart w:id="46" w:name="_Toc922"/>
      <w:bookmarkStart w:id="47" w:name="_Toc14636"/>
      <w:bookmarkStart w:id="48" w:name="_Toc18796"/>
      <w:bookmarkStart w:id="49" w:name="_Toc16186"/>
      <w:r>
        <w:t>一、</w:t>
      </w:r>
      <w:r>
        <w:rPr>
          <w:rFonts w:hint="eastAsia"/>
        </w:rPr>
        <w:t>“十三五”工作回顾</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ind w:firstLine="640" w:firstLineChars="200"/>
        <w:rPr>
          <w:rFonts w:hint="eastAsia" w:ascii="仿宋_GB2312"/>
          <w:sz w:val="32"/>
        </w:rPr>
      </w:pPr>
      <w:r>
        <w:rPr>
          <w:rFonts w:hint="eastAsia" w:ascii="仿宋_GB2312"/>
          <w:sz w:val="32"/>
        </w:rPr>
        <w:t>“十三五”期间，杭州西溪湿地公园管委会办公室（以下简称“管委会”）坚持“生态保护第一，可持续发展”理念，深化改革创新，奋力推进西溪湿地“蝶变行动”，有效改善湿地生态环境，工作成效显著。</w:t>
      </w:r>
    </w:p>
    <w:p>
      <w:pPr>
        <w:pStyle w:val="6"/>
        <w:ind w:firstLine="640"/>
        <w:rPr>
          <w:rFonts w:hint="eastAsia" w:ascii="楷体_GB2312" w:eastAsia="楷体_GB2312"/>
          <w:b w:val="0"/>
        </w:rPr>
      </w:pPr>
      <w:bookmarkStart w:id="50" w:name="_Toc30272"/>
      <w:bookmarkStart w:id="51" w:name="_Toc10515"/>
      <w:bookmarkStart w:id="52" w:name="_Toc12185"/>
      <w:bookmarkStart w:id="53" w:name="_Toc24310"/>
      <w:bookmarkStart w:id="54" w:name="_Toc8985"/>
      <w:bookmarkStart w:id="55" w:name="_Toc23197"/>
      <w:bookmarkStart w:id="56" w:name="_Toc28220"/>
      <w:bookmarkStart w:id="57" w:name="_Toc6166"/>
      <w:bookmarkStart w:id="58" w:name="_Toc27509"/>
      <w:bookmarkStart w:id="59" w:name="_Toc738"/>
      <w:bookmarkStart w:id="60" w:name="_Toc28971"/>
      <w:bookmarkStart w:id="61" w:name="_Toc4596"/>
      <w:bookmarkStart w:id="62" w:name="_Toc23376"/>
      <w:bookmarkStart w:id="63" w:name="_Toc20851"/>
      <w:bookmarkStart w:id="64" w:name="_Toc10980"/>
      <w:bookmarkStart w:id="65" w:name="_Toc4227"/>
      <w:r>
        <w:rPr>
          <w:rFonts w:hint="eastAsia" w:ascii="楷体_GB2312" w:eastAsia="楷体_GB2312"/>
          <w:b w:val="0"/>
        </w:rPr>
        <w:t>（一）全面保护湿地生态环境</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widowControl/>
        <w:ind w:firstLine="640" w:firstLineChars="200"/>
        <w:rPr>
          <w:rFonts w:hint="eastAsia" w:ascii="仿宋_GB2312"/>
          <w:sz w:val="32"/>
        </w:rPr>
      </w:pPr>
      <w:bookmarkStart w:id="66" w:name="_Toc10937"/>
      <w:bookmarkStart w:id="67" w:name="_Toc3642"/>
      <w:bookmarkStart w:id="68" w:name="_Toc4722"/>
      <w:bookmarkStart w:id="69" w:name="_Toc32582"/>
      <w:bookmarkStart w:id="70" w:name="_Toc8613"/>
      <w:bookmarkStart w:id="71" w:name="_Toc18692"/>
      <w:bookmarkStart w:id="72" w:name="_Toc22596"/>
      <w:bookmarkStart w:id="73" w:name="_Toc1195"/>
      <w:bookmarkStart w:id="74" w:name="_Toc9304"/>
      <w:r>
        <w:rPr>
          <w:rFonts w:hint="eastAsia" w:ascii="仿宋_GB2312"/>
          <w:sz w:val="32"/>
        </w:rPr>
        <w:t>“十三五”期间</w:t>
      </w:r>
      <w:bookmarkEnd w:id="66"/>
      <w:bookmarkEnd w:id="67"/>
      <w:bookmarkEnd w:id="68"/>
      <w:bookmarkEnd w:id="69"/>
      <w:bookmarkEnd w:id="70"/>
      <w:bookmarkEnd w:id="71"/>
      <w:bookmarkEnd w:id="72"/>
      <w:bookmarkEnd w:id="73"/>
      <w:bookmarkEnd w:id="74"/>
      <w:r>
        <w:rPr>
          <w:rFonts w:hint="eastAsia" w:ascii="仿宋_GB2312"/>
          <w:sz w:val="32"/>
        </w:rPr>
        <w:t>，管委会围绕“山水林田湖草沙是生命共同体”的系统思想，统筹考虑水、土壤、大气、生物多样性等湿地自然生态要素，以改善水质、修复生态功能为工作重点，系统保护西溪湿地的生态环境，确保湿地各项生态要素稳定。</w:t>
      </w:r>
    </w:p>
    <w:p>
      <w:pPr>
        <w:numPr>
          <w:ilvl w:val="0"/>
          <w:numId w:val="1"/>
        </w:numPr>
        <w:ind w:firstLine="640" w:firstLineChars="200"/>
        <w:outlineLvl w:val="3"/>
        <w:rPr>
          <w:rFonts w:hint="eastAsia" w:ascii="仿宋_GB2312"/>
          <w:bCs/>
          <w:sz w:val="32"/>
        </w:rPr>
      </w:pPr>
      <w:r>
        <w:rPr>
          <w:rFonts w:hint="eastAsia" w:ascii="仿宋_GB2312"/>
          <w:bCs/>
          <w:sz w:val="32"/>
        </w:rPr>
        <w:t>全面提升水环境</w:t>
      </w:r>
    </w:p>
    <w:p>
      <w:pPr>
        <w:ind w:firstLine="640" w:firstLineChars="200"/>
        <w:rPr>
          <w:rFonts w:hint="eastAsia" w:ascii="仿宋_GB2312"/>
          <w:sz w:val="32"/>
        </w:rPr>
      </w:pPr>
      <w:r>
        <w:rPr>
          <w:rFonts w:hint="eastAsia" w:ascii="仿宋_GB2312"/>
          <w:sz w:val="32"/>
        </w:rPr>
        <w:t>“十三五”期间，西溪湿地以“五水共治”为抓手，通过清淤疏浚、截污纳管、科学配水、生物治理“四管齐下”，稳步提升湿地水质。“十三五”期间，西溪湿地累计完成生态清淤20万余立方米，有效改善河底水生态环境及区域水质。湿地公园内产生的生活污水均采取截污纳管处理，有效控制污水对河道水体的干扰。全面做好科学配水工作，增强了湿地水体的流动性。积极开展增殖放流活动，提高水环境自净调节能力。持续探索生物防治以及其他可持续发展的绿化管理模式，农药减量控害成效显著。持续推进“油改电”工作，除治安、抢险、工程等工作船外，湿地公园内行驶的机动船已基本采用电力等无污染的动力。以《地表水环境质量标准》（GB 3838-2002）为评价标准，西溪湿地“水十条”考核断面深潭口监测点位水质逐年改善，由2016年的Ⅲ类提升至2017-2020年的Ⅱ类，水质达标率为100%。</w:t>
      </w:r>
    </w:p>
    <w:p>
      <w:pPr>
        <w:numPr>
          <w:ilvl w:val="0"/>
          <w:numId w:val="2"/>
        </w:numPr>
        <w:ind w:firstLine="640" w:firstLineChars="200"/>
        <w:outlineLvl w:val="3"/>
        <w:rPr>
          <w:rFonts w:hint="eastAsia" w:ascii="仿宋_GB2312"/>
          <w:bCs/>
          <w:sz w:val="32"/>
        </w:rPr>
      </w:pPr>
      <w:r>
        <w:rPr>
          <w:rFonts w:hint="eastAsia" w:ascii="仿宋_GB2312"/>
          <w:bCs/>
          <w:sz w:val="32"/>
        </w:rPr>
        <w:t>稳步改善大气环境</w:t>
      </w:r>
    </w:p>
    <w:p>
      <w:pPr>
        <w:ind w:firstLine="640" w:firstLineChars="200"/>
        <w:rPr>
          <w:rFonts w:hint="eastAsia" w:ascii="仿宋_GB2312"/>
          <w:sz w:val="32"/>
        </w:rPr>
      </w:pPr>
      <w:r>
        <w:rPr>
          <w:rFonts w:hint="eastAsia" w:ascii="仿宋_GB2312"/>
          <w:sz w:val="32"/>
        </w:rPr>
        <w:t>坚持每日对西溪湿地进行巡查检查，严格控制车辆进出频次和餐饮油烟排放，减少汽车尾气、油烟、扬尘等对环境空气质量的影响，提升停车收费系统，2019年完成周家村停车场升级改造，优化闸道点位15处，实现了“先离场后缴费”。2020年西湖西溪景区成为全国首个推出“无杆”停车场的景区，车辆实现“无杆进出”，在提升通行效率的同时，减少尾气排放量，为西溪湿地绿色低碳景区建设全面助力。西溪湿地空气质量显著改善，2020年西溪湿地细颗粒物（PM</w:t>
      </w:r>
      <w:r>
        <w:rPr>
          <w:rFonts w:hint="eastAsia" w:ascii="仿宋_GB2312"/>
          <w:sz w:val="32"/>
          <w:vertAlign w:val="subscript"/>
        </w:rPr>
        <w:t>2.5</w:t>
      </w:r>
      <w:r>
        <w:rPr>
          <w:rFonts w:hint="eastAsia" w:ascii="仿宋_GB2312"/>
          <w:sz w:val="32"/>
        </w:rPr>
        <w:t>）年均浓度为28μg/m</w:t>
      </w:r>
      <w:r>
        <w:rPr>
          <w:rFonts w:hint="eastAsia" w:ascii="仿宋_GB2312"/>
          <w:sz w:val="32"/>
          <w:vertAlign w:val="superscript"/>
        </w:rPr>
        <w:t>3</w:t>
      </w:r>
      <w:r>
        <w:rPr>
          <w:rFonts w:hint="eastAsia" w:ascii="仿宋_GB2312"/>
          <w:sz w:val="32"/>
        </w:rPr>
        <w:t>，全面达到环境空气质量国家二级标准，较2016年下降36.4个百分点；空气质量优良天数比率达89.7%，较2016年提高28.1个百分点。</w:t>
      </w:r>
    </w:p>
    <w:p>
      <w:pPr>
        <w:ind w:firstLine="640" w:firstLineChars="200"/>
        <w:outlineLvl w:val="3"/>
        <w:rPr>
          <w:rFonts w:hint="eastAsia" w:ascii="仿宋_GB2312"/>
          <w:bCs/>
          <w:sz w:val="32"/>
        </w:rPr>
      </w:pPr>
      <w:r>
        <w:rPr>
          <w:rFonts w:hint="eastAsia" w:ascii="仿宋_GB2312"/>
          <w:bCs/>
          <w:sz w:val="32"/>
        </w:rPr>
        <w:t>3、强化保护生物多样性</w:t>
      </w:r>
    </w:p>
    <w:p>
      <w:pPr>
        <w:ind w:firstLine="640" w:firstLineChars="200"/>
        <w:rPr>
          <w:rFonts w:hint="eastAsia" w:ascii="仿宋_GB2312"/>
          <w:color w:val="000000"/>
          <w:sz w:val="32"/>
          <w:szCs w:val="28"/>
        </w:rPr>
      </w:pPr>
      <w:r>
        <w:rPr>
          <w:rFonts w:hint="eastAsia" w:ascii="仿宋_GB2312"/>
          <w:color w:val="000000"/>
          <w:sz w:val="32"/>
          <w:szCs w:val="28"/>
        </w:rPr>
        <w:t>西溪湿地通过加强原生态保护、实施地形整理、优化植被配置、强化生物安全管理等措施，不断保护和提升西溪湿地动植物生态系统多样性和稳定性。“十三五”期间，杭州市林业水利局委托浙江自然博物馆（浙江生物多样性研究中心）开展西溪湿地生物多样性监测，查明了湿地公园内九大生物门类物种情况及外来入侵物种状况，为湿地生态系统保护、建设、管理提供了科学依据。建立</w:t>
      </w:r>
      <w:r>
        <w:rPr>
          <w:rFonts w:hint="eastAsia" w:ascii="仿宋_GB2312"/>
          <w:color w:val="000000"/>
          <w:sz w:val="32"/>
          <w:szCs w:val="28"/>
          <w:lang w:eastAsia="zh-CN"/>
        </w:rPr>
        <w:t>健</w:t>
      </w:r>
      <w:r>
        <w:rPr>
          <w:rFonts w:hint="eastAsia" w:ascii="仿宋_GB2312"/>
          <w:color w:val="000000"/>
          <w:sz w:val="32"/>
          <w:szCs w:val="28"/>
        </w:rPr>
        <w:t>全动态管理机制，通过适时修订管理措施，使湿地生态的保护修复更加科学，外来生物入侵得到有效控制。根据《杭州西溪国家湿地公园生物多样性2020年度监测报告》，西溪湿地现有植物群落87个，无脊椎动物（除昆虫）118属187种，脊椎动物21目77科255种。其中国家一级重点保护动物2种，国家二级重点保护动物23种，国家二级重点保护植物4种。</w:t>
      </w:r>
    </w:p>
    <w:p>
      <w:pPr>
        <w:ind w:firstLine="640" w:firstLineChars="200"/>
        <w:outlineLvl w:val="3"/>
        <w:rPr>
          <w:rFonts w:hint="eastAsia" w:ascii="仿宋_GB2312"/>
          <w:bCs/>
          <w:sz w:val="32"/>
        </w:rPr>
      </w:pPr>
      <w:r>
        <w:rPr>
          <w:rFonts w:hint="eastAsia" w:ascii="仿宋_GB2312"/>
          <w:bCs/>
          <w:sz w:val="32"/>
        </w:rPr>
        <w:t>4、全面做好垃圾分类</w:t>
      </w:r>
    </w:p>
    <w:p>
      <w:pPr>
        <w:ind w:firstLine="640" w:firstLineChars="200"/>
        <w:rPr>
          <w:rFonts w:hint="eastAsia" w:ascii="仿宋_GB2312"/>
          <w:sz w:val="32"/>
        </w:rPr>
      </w:pPr>
      <w:r>
        <w:rPr>
          <w:rFonts w:hint="eastAsia" w:ascii="仿宋_GB2312"/>
          <w:sz w:val="32"/>
        </w:rPr>
        <w:t>强化宣传引导。利用湿地公园自媒体、电子屏、志愿服务微笑亭、游客服务中心等各类宣传媒体和宣传阵地，面向职工、入驻商户及游客开展不同形式的垃圾分类宣传活动，营造了人人自觉参与的良好氛围。完善设施设备。2019年完成蒋村慢生活街区垃圾中转站建设并投入使用，在主游览线路和垃圾收集点增添放置标有“可回收垃圾、不可回收垃圾、有害垃圾、其他垃圾”四色垃圾桶，严格落实分类收集、分类运输，致力打造品质旅游景区。2020年6月，杭州西湖风景名胜区管委会印发了《杭州西湖风景名胜区“无废城市”建设工作方案》（杭西管办〔2020〕85号），全方位推动“无废湿地”建设。</w:t>
      </w:r>
    </w:p>
    <w:p>
      <w:pPr>
        <w:pStyle w:val="6"/>
        <w:ind w:firstLine="640"/>
        <w:rPr>
          <w:rFonts w:hint="eastAsia" w:ascii="楷体_GB2312" w:eastAsia="楷体_GB2312"/>
          <w:b w:val="0"/>
        </w:rPr>
      </w:pPr>
      <w:bookmarkStart w:id="75" w:name="_Toc20965"/>
      <w:bookmarkStart w:id="76" w:name="_Toc1874"/>
      <w:bookmarkStart w:id="77" w:name="_Toc3399"/>
      <w:bookmarkStart w:id="78" w:name="_Toc30823"/>
      <w:bookmarkStart w:id="79" w:name="_Toc22924"/>
      <w:bookmarkStart w:id="80" w:name="_Toc1239"/>
      <w:bookmarkStart w:id="81" w:name="_Toc26005"/>
      <w:bookmarkStart w:id="82" w:name="_Toc29252"/>
      <w:bookmarkStart w:id="83" w:name="_Toc15288"/>
      <w:bookmarkStart w:id="84" w:name="_Toc31489"/>
      <w:bookmarkStart w:id="85" w:name="_Toc1349"/>
      <w:bookmarkStart w:id="86" w:name="_Toc12084"/>
      <w:bookmarkStart w:id="87" w:name="_Toc7977"/>
      <w:bookmarkStart w:id="88" w:name="_Toc25617"/>
      <w:bookmarkStart w:id="89" w:name="_Toc10476"/>
      <w:bookmarkStart w:id="90" w:name="_Toc2978"/>
      <w:r>
        <w:rPr>
          <w:rFonts w:hint="eastAsia" w:ascii="楷体_GB2312" w:eastAsia="楷体_GB2312"/>
          <w:b w:val="0"/>
        </w:rPr>
        <w:t>（二）推进环境治理现代化</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ind w:firstLine="560"/>
        <w:rPr>
          <w:rFonts w:hint="eastAsia" w:ascii="仿宋_GB2312"/>
          <w:sz w:val="32"/>
        </w:rPr>
      </w:pPr>
      <w:r>
        <w:rPr>
          <w:rFonts w:hint="eastAsia" w:ascii="仿宋_GB2312"/>
          <w:sz w:val="32"/>
        </w:rPr>
        <w:t>通过推进“原生态+”制度化、智慧化管理，实现西溪湿地治理体系和治理能力现代化。</w:t>
      </w:r>
    </w:p>
    <w:p>
      <w:pPr>
        <w:ind w:firstLine="640" w:firstLineChars="200"/>
        <w:outlineLvl w:val="3"/>
        <w:rPr>
          <w:rFonts w:hint="eastAsia" w:ascii="仿宋_GB2312"/>
          <w:bCs/>
          <w:sz w:val="32"/>
        </w:rPr>
      </w:pPr>
      <w:bookmarkStart w:id="91" w:name="_Toc7034"/>
      <w:bookmarkStart w:id="92" w:name="_Toc5112"/>
      <w:bookmarkStart w:id="93" w:name="_Toc16198"/>
      <w:bookmarkStart w:id="94" w:name="_Toc15249"/>
      <w:bookmarkStart w:id="95" w:name="_Toc4834"/>
      <w:bookmarkStart w:id="96" w:name="_Toc24716"/>
      <w:bookmarkStart w:id="97" w:name="_Toc10364"/>
      <w:bookmarkStart w:id="98" w:name="_Toc4739"/>
      <w:bookmarkStart w:id="99" w:name="_Toc30174"/>
      <w:r>
        <w:rPr>
          <w:rFonts w:hint="eastAsia" w:ascii="仿宋_GB2312"/>
          <w:bCs/>
          <w:sz w:val="32"/>
        </w:rPr>
        <w:t>1、推进管理制度化</w:t>
      </w:r>
      <w:bookmarkEnd w:id="91"/>
      <w:bookmarkEnd w:id="92"/>
      <w:bookmarkEnd w:id="93"/>
      <w:bookmarkEnd w:id="94"/>
      <w:bookmarkEnd w:id="95"/>
      <w:bookmarkEnd w:id="96"/>
      <w:bookmarkEnd w:id="97"/>
      <w:bookmarkEnd w:id="98"/>
      <w:bookmarkEnd w:id="99"/>
    </w:p>
    <w:p>
      <w:pPr>
        <w:ind w:firstLine="640" w:firstLineChars="200"/>
        <w:rPr>
          <w:rFonts w:hint="eastAsia" w:ascii="仿宋_GB2312"/>
          <w:sz w:val="32"/>
        </w:rPr>
      </w:pPr>
      <w:r>
        <w:rPr>
          <w:rFonts w:hint="eastAsia" w:ascii="仿宋_GB2312"/>
          <w:sz w:val="32"/>
        </w:rPr>
        <w:t>注重制度创新，强化制度执行。建立健全西溪湿地生态责任追究、生态保护考核、植物植被养护、钱塘江引配水等制度，形成了严密的湿地保护和管理制度法治体系。2017年，杭州西溪湿地公园管理委员会办公室印发《杭州西溪湿地生态环境保护工作考核制度》和《杭州西溪湿地生态环境保护责任追究制度》，加强了对生态环境保护工作的目标考核，强化西溪湿地生态环境保护。2020年6月，杭州市全面启动“西湖·西溪”一体化保护提升，将西溪国家湿地公园管委会及相关管理机构设在西湖风景名胜区管委会，由西湖风景名胜区管委会（西溪国家湿地公园管委会）统一行使西湖国家级风景名胜区和西溪国家湿地公园一体化保护管理等职能，进一步推动了西湖西溪“双西”合璧，在大统筹中打造城市最强功能、最靓名片、最美窗口。</w:t>
      </w:r>
    </w:p>
    <w:p>
      <w:pPr>
        <w:ind w:left="560" w:leftChars="200"/>
        <w:outlineLvl w:val="3"/>
        <w:rPr>
          <w:rFonts w:hint="eastAsia" w:ascii="仿宋_GB2312"/>
          <w:bCs/>
          <w:sz w:val="32"/>
        </w:rPr>
      </w:pPr>
      <w:bookmarkStart w:id="100" w:name="_Toc11261"/>
      <w:bookmarkStart w:id="101" w:name="_Toc24512"/>
      <w:bookmarkStart w:id="102" w:name="_Toc16000"/>
      <w:bookmarkStart w:id="103" w:name="_Toc14225"/>
      <w:bookmarkStart w:id="104" w:name="_Toc31515"/>
      <w:bookmarkStart w:id="105" w:name="_Toc24109"/>
      <w:bookmarkStart w:id="106" w:name="_Toc20023"/>
      <w:bookmarkStart w:id="107" w:name="_Toc31944"/>
      <w:bookmarkStart w:id="108" w:name="_Toc24468"/>
      <w:r>
        <w:rPr>
          <w:rFonts w:hint="eastAsia" w:ascii="仿宋_GB2312"/>
          <w:bCs/>
          <w:sz w:val="32"/>
        </w:rPr>
        <w:t>2、创新管理智慧化</w:t>
      </w:r>
      <w:bookmarkEnd w:id="100"/>
      <w:bookmarkEnd w:id="101"/>
      <w:bookmarkEnd w:id="102"/>
      <w:bookmarkEnd w:id="103"/>
      <w:bookmarkEnd w:id="104"/>
      <w:bookmarkEnd w:id="105"/>
      <w:bookmarkEnd w:id="106"/>
      <w:bookmarkEnd w:id="107"/>
      <w:bookmarkEnd w:id="108"/>
    </w:p>
    <w:p>
      <w:pPr>
        <w:ind w:firstLine="640" w:firstLineChars="200"/>
        <w:rPr>
          <w:rFonts w:hint="eastAsia" w:ascii="仿宋_GB2312"/>
          <w:sz w:val="32"/>
        </w:rPr>
      </w:pPr>
      <w:r>
        <w:rPr>
          <w:rFonts w:hint="eastAsia" w:ascii="仿宋_GB2312"/>
          <w:sz w:val="32"/>
        </w:rPr>
        <w:t>以数字赋能提升西溪湿地原生态保护。加强大数据、云计算、人工智能等手段的应用。2018年，西溪湿地在杭州率先推出“1秒入园”智慧化管理系统，并建设线上预约、刷脸入园、无人机云旅游、客流和停车管理、船只、水闸和监控等智能管控设施，打造智慧湿地管理示范。</w:t>
      </w:r>
    </w:p>
    <w:p>
      <w:pPr>
        <w:ind w:firstLine="640" w:firstLineChars="200"/>
        <w:rPr>
          <w:rFonts w:hint="eastAsia" w:ascii="仿宋_GB2312"/>
          <w:sz w:val="32"/>
        </w:rPr>
      </w:pPr>
      <w:r>
        <w:rPr>
          <w:rFonts w:hint="eastAsia" w:ascii="仿宋_GB2312"/>
          <w:sz w:val="32"/>
        </w:rPr>
        <w:t>持续提升生态环境监测能力。以杭州西溪湿地生态系统国家定位观测研究站为依托，系统规划湿地生态监测网络布局，建成集数据采集、分析、储存、展示等功能于一体的生态监测信息数据库，为西溪湿地风险评估、管理决策和信息公开提供了强有力的数据支撑。目前已建设监测站点13处，其中，国控空气自动监测站1处、省级水质自动监测站1处、市级标准气象场1处、野外固定监测样地10处。</w:t>
      </w:r>
      <w:bookmarkStart w:id="109" w:name="_Toc6768"/>
      <w:bookmarkStart w:id="110" w:name="_Toc2366"/>
      <w:bookmarkStart w:id="111" w:name="_Toc20440"/>
      <w:bookmarkStart w:id="112" w:name="_Toc2924"/>
      <w:bookmarkStart w:id="113" w:name="_Toc19077"/>
      <w:bookmarkStart w:id="114" w:name="_Toc10761"/>
      <w:bookmarkStart w:id="115" w:name="_Toc8713"/>
    </w:p>
    <w:p>
      <w:pPr>
        <w:pStyle w:val="6"/>
        <w:ind w:firstLine="640"/>
        <w:rPr>
          <w:rFonts w:hint="eastAsia" w:ascii="楷体_GB2312" w:eastAsia="楷体_GB2312"/>
          <w:b w:val="0"/>
        </w:rPr>
      </w:pPr>
      <w:r>
        <w:rPr>
          <w:rFonts w:hint="eastAsia" w:ascii="楷体_GB2312" w:eastAsia="楷体_GB2312"/>
          <w:b w:val="0"/>
        </w:rPr>
        <w:t>（三）做好文化挖掘与科普宣教</w:t>
      </w:r>
      <w:bookmarkEnd w:id="109"/>
      <w:bookmarkEnd w:id="110"/>
      <w:bookmarkEnd w:id="111"/>
      <w:bookmarkEnd w:id="112"/>
      <w:bookmarkEnd w:id="113"/>
      <w:bookmarkEnd w:id="114"/>
      <w:bookmarkEnd w:id="115"/>
    </w:p>
    <w:p>
      <w:pPr>
        <w:ind w:firstLine="560"/>
        <w:rPr>
          <w:rFonts w:hint="eastAsia" w:ascii="仿宋_GB2312"/>
          <w:sz w:val="32"/>
          <w:szCs w:val="32"/>
        </w:rPr>
      </w:pPr>
      <w:r>
        <w:rPr>
          <w:rFonts w:hint="eastAsia" w:ascii="仿宋_GB2312"/>
          <w:sz w:val="32"/>
          <w:szCs w:val="32"/>
        </w:rPr>
        <w:t>西溪湿地坚持以文化为核心，以工匠精神聚力文化挖掘、科普宣教，唤活历史的碎片、文化的碎片。</w:t>
      </w:r>
    </w:p>
    <w:p>
      <w:pPr>
        <w:ind w:firstLine="640" w:firstLineChars="200"/>
        <w:outlineLvl w:val="3"/>
        <w:rPr>
          <w:rFonts w:hint="eastAsia" w:ascii="仿宋_GB2312"/>
          <w:bCs/>
          <w:sz w:val="32"/>
          <w:szCs w:val="32"/>
        </w:rPr>
      </w:pPr>
      <w:r>
        <w:rPr>
          <w:rFonts w:hint="eastAsia" w:ascii="仿宋_GB2312"/>
          <w:bCs/>
          <w:sz w:val="32"/>
          <w:szCs w:val="32"/>
        </w:rPr>
        <w:t>1、深入挖掘文化资源</w:t>
      </w:r>
    </w:p>
    <w:p>
      <w:pPr>
        <w:ind w:firstLine="640" w:firstLineChars="200"/>
        <w:rPr>
          <w:rFonts w:hint="eastAsia" w:ascii="仿宋_GB2312"/>
          <w:sz w:val="32"/>
          <w:szCs w:val="32"/>
        </w:rPr>
      </w:pPr>
      <w:r>
        <w:rPr>
          <w:rFonts w:hint="eastAsia" w:ascii="仿宋_GB2312"/>
          <w:sz w:val="32"/>
          <w:szCs w:val="32"/>
        </w:rPr>
        <w:t>致力挖掘水浒文化。探究考证《水浒传》中的众多西溪元素，建成并开放杭州西溪水浒文化展示馆。以西溪钱塘施耐庵故居为核心，深化西溪水浒文化研究，串联水浒文化史迹，举办主题展览活动。打造特色文创产品。出版《西溪与水浒》、《钱塘西溪——水浒传的孕育之地》、《西溪水浒旅游宝典》等著作。</w:t>
      </w:r>
    </w:p>
    <w:p>
      <w:pPr>
        <w:ind w:firstLine="640" w:firstLineChars="200"/>
        <w:rPr>
          <w:rFonts w:hint="eastAsia" w:ascii="仿宋_GB2312"/>
          <w:sz w:val="32"/>
          <w:szCs w:val="32"/>
        </w:rPr>
      </w:pPr>
      <w:r>
        <w:rPr>
          <w:rFonts w:hint="eastAsia" w:ascii="仿宋_GB2312"/>
          <w:sz w:val="32"/>
          <w:szCs w:val="32"/>
        </w:rPr>
        <w:t>传承创新非遗文化。积极挖掘和保护西溪龙舟、西溪小花篮、蓝印花布等别具西溪特色的非物质文化遗产。传承弘扬民俗文化，大力推广清明野餐、种桑养蚕、干塘清淤等特色文化活动。2016年西溪湿地被评为第一批杭州市非物质文化遗产旅游经典景区；2019年荣获“第七届浙江旅游总评榜—文旅融合示范景区”。</w:t>
      </w:r>
    </w:p>
    <w:p>
      <w:pPr>
        <w:ind w:firstLine="640" w:firstLineChars="200"/>
        <w:outlineLvl w:val="3"/>
        <w:rPr>
          <w:rFonts w:hint="eastAsia" w:ascii="仿宋_GB2312"/>
          <w:bCs/>
          <w:sz w:val="32"/>
          <w:szCs w:val="32"/>
        </w:rPr>
      </w:pPr>
      <w:r>
        <w:rPr>
          <w:rFonts w:hint="eastAsia" w:ascii="仿宋_GB2312"/>
          <w:bCs/>
          <w:sz w:val="32"/>
          <w:szCs w:val="32"/>
        </w:rPr>
        <w:t>2、大力开展科普宣教</w:t>
      </w:r>
    </w:p>
    <w:p>
      <w:pPr>
        <w:ind w:firstLine="640" w:firstLineChars="200"/>
        <w:rPr>
          <w:rFonts w:hint="eastAsia" w:ascii="仿宋_GB2312"/>
          <w:sz w:val="32"/>
          <w:szCs w:val="32"/>
        </w:rPr>
      </w:pPr>
      <w:r>
        <w:rPr>
          <w:rFonts w:hint="eastAsia" w:ascii="仿宋_GB2312"/>
          <w:sz w:val="32"/>
          <w:szCs w:val="32"/>
        </w:rPr>
        <w:t>西溪湿地充分借助自身生态环境良好、动植物资源丰富的优势，持续延展生态科普功能，推进研学旅行实践基地建设，构建人与自然和谐共处的湿地生态文化。完善烟水渔庄、深潭口、莲花滩等三个区域的研学线路，积极打造小寿堤绿道科普研学路线，增设植物动态介绍、鸟类飞行故事等标识标牌，优化室外科普宣教氛围。举办“湿地文化进校园、师生进湿地、全国湿地学校建品牌”、“浙江省中小学生自然笔记大赛”等以湿地为主题的展览、讲座、交流活动，有效发挥了湿地的科普宣传价值，获得了良好的社会评价。2017年西溪湿地入选全国中小学研学实践教育基地，2019年西溪湿地获评全国首批自然教育学校（基地）。2019年西溪湿地累计接待来园游客584.7万人，其中研学团队23批3482人次、第二课堂中小学生3.67万人次。</w:t>
      </w:r>
    </w:p>
    <w:p>
      <w:pPr>
        <w:ind w:left="560" w:leftChars="200"/>
        <w:outlineLvl w:val="3"/>
        <w:rPr>
          <w:rFonts w:hint="eastAsia" w:ascii="仿宋_GB2312"/>
          <w:bCs/>
          <w:sz w:val="32"/>
          <w:szCs w:val="32"/>
        </w:rPr>
      </w:pPr>
      <w:r>
        <w:rPr>
          <w:rFonts w:hint="eastAsia" w:ascii="仿宋_GB2312"/>
          <w:bCs/>
          <w:sz w:val="32"/>
          <w:szCs w:val="32"/>
        </w:rPr>
        <w:t>3、促进科研成果转化</w:t>
      </w:r>
    </w:p>
    <w:p>
      <w:pPr>
        <w:widowControl/>
        <w:ind w:firstLine="640" w:firstLineChars="200"/>
        <w:rPr>
          <w:rFonts w:hint="eastAsia" w:ascii="仿宋_GB2312"/>
          <w:sz w:val="32"/>
          <w:szCs w:val="32"/>
        </w:rPr>
      </w:pPr>
      <w:r>
        <w:rPr>
          <w:rFonts w:hint="eastAsia" w:ascii="仿宋_GB2312"/>
          <w:sz w:val="32"/>
          <w:szCs w:val="32"/>
        </w:rPr>
        <w:t>“十三五”期间，西溪湿地开展多项专项课题研究，其中，《西溪湿地水文过程及水环境效应研究》梳理了西溪湿地河网水系，对水质提升及监测站点布置提出了可行性建议。《西溪湿地生态管理和经营模式研究》摸清了西溪湿地生态管理和经营现状，分析了西溪湿地面临的新挑战，阐述了湿地保护与利用的“西溪模式”的科学内涵，提出了湿地保护与利用“西溪模式”的发展建议。同时，依托中国湿地博物馆专业优势，创建中国湿地植物数据库，大力推进植物数据开发建设。2019年，中国湿地博物馆建成全国首个集入侵植物、保护植物和西溪植物专题于一体的湿地植物专业网站。网站共收录湿地植物数据214科2167种，并向公众开放湿地植物信息查询功能。</w:t>
      </w:r>
    </w:p>
    <w:p>
      <w:pPr>
        <w:pStyle w:val="5"/>
        <w:rPr>
          <w:rFonts w:hint="eastAsia"/>
        </w:rPr>
      </w:pPr>
      <w:bookmarkStart w:id="116" w:name="_Toc18827"/>
      <w:bookmarkStart w:id="117" w:name="_Toc22844"/>
      <w:bookmarkStart w:id="118" w:name="_Toc20515"/>
      <w:bookmarkStart w:id="119" w:name="_Toc29636"/>
      <w:bookmarkStart w:id="120" w:name="_Toc27387"/>
      <w:bookmarkStart w:id="121" w:name="_Toc5785"/>
      <w:bookmarkStart w:id="122" w:name="_Toc19039"/>
      <w:bookmarkStart w:id="123" w:name="_Toc3370"/>
      <w:bookmarkStart w:id="124" w:name="_Toc20647"/>
      <w:bookmarkStart w:id="125" w:name="_Toc30348"/>
      <w:bookmarkStart w:id="126" w:name="_Toc6034"/>
      <w:bookmarkStart w:id="127" w:name="_Toc31122"/>
      <w:bookmarkStart w:id="128" w:name="_Toc32286"/>
      <w:bookmarkStart w:id="129" w:name="_Toc30651"/>
      <w:bookmarkStart w:id="130" w:name="_Toc28183"/>
      <w:bookmarkStart w:id="131" w:name="_Toc26583"/>
      <w:bookmarkStart w:id="132" w:name="_Toc24745"/>
      <w:bookmarkStart w:id="133" w:name="_Toc12678"/>
      <w:bookmarkStart w:id="134" w:name="_Toc1391"/>
      <w:bookmarkStart w:id="135" w:name="_Toc22226"/>
      <w:bookmarkStart w:id="136" w:name="_Toc9063"/>
      <w:bookmarkStart w:id="137" w:name="_Toc8756"/>
      <w:bookmarkStart w:id="138" w:name="_Toc11789"/>
      <w:bookmarkStart w:id="139" w:name="_Toc29370"/>
      <w:bookmarkStart w:id="140" w:name="_Toc8304"/>
      <w:bookmarkStart w:id="141" w:name="_Toc30915"/>
      <w:bookmarkStart w:id="142" w:name="_Toc11948"/>
      <w:bookmarkStart w:id="143" w:name="_Toc19239"/>
      <w:bookmarkStart w:id="144" w:name="_Toc21506"/>
      <w:r>
        <w:rPr>
          <w:rFonts w:hint="eastAsia"/>
        </w:rPr>
        <w:t>二、</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hint="eastAsia"/>
        </w:rPr>
        <w:t>主要问题分析</w:t>
      </w:r>
      <w:bookmarkEnd w:id="142"/>
      <w:bookmarkEnd w:id="143"/>
      <w:bookmarkEnd w:id="144"/>
    </w:p>
    <w:p>
      <w:pPr>
        <w:ind w:firstLine="640" w:firstLineChars="200"/>
        <w:rPr>
          <w:rFonts w:hint="eastAsia" w:ascii="仿宋_GB2312"/>
          <w:sz w:val="32"/>
          <w:szCs w:val="32"/>
        </w:rPr>
      </w:pPr>
      <w:r>
        <w:rPr>
          <w:rFonts w:hint="eastAsia" w:ascii="仿宋_GB2312"/>
          <w:sz w:val="32"/>
          <w:szCs w:val="32"/>
        </w:rPr>
        <w:t>“十三五”以来，尽管西溪湿地生态环境保护工作取得积极成效，环境基础设施渐趋完善，生态修复成效明显，环境综合治理取得重大进展，但仍存在一些突出的问题。</w:t>
      </w:r>
    </w:p>
    <w:p>
      <w:pPr>
        <w:ind w:firstLine="640" w:firstLineChars="200"/>
        <w:outlineLvl w:val="3"/>
        <w:rPr>
          <w:rFonts w:hint="eastAsia" w:ascii="仿宋_GB2312"/>
          <w:bCs/>
          <w:sz w:val="32"/>
          <w:szCs w:val="32"/>
        </w:rPr>
      </w:pPr>
      <w:r>
        <w:rPr>
          <w:rFonts w:hint="eastAsia" w:ascii="仿宋_GB2312"/>
          <w:bCs/>
          <w:sz w:val="32"/>
          <w:szCs w:val="32"/>
        </w:rPr>
        <w:t>1、西溪湿地生态环境质量有待提升</w:t>
      </w:r>
    </w:p>
    <w:p>
      <w:pPr>
        <w:ind w:firstLine="640" w:firstLineChars="200"/>
        <w:rPr>
          <w:rFonts w:hint="eastAsia" w:ascii="仿宋_GB2312"/>
          <w:sz w:val="32"/>
          <w:szCs w:val="32"/>
        </w:rPr>
      </w:pPr>
      <w:r>
        <w:rPr>
          <w:rFonts w:hint="eastAsia" w:ascii="仿宋_GB2312"/>
          <w:sz w:val="32"/>
          <w:szCs w:val="32"/>
        </w:rPr>
        <w:t>湿地内独立池塘较多，与周边水系连通性较差，流速缓慢，流动性差。加上钱塘江引水水质不稳定，引水水量不固定，部分池塘水体存在水体透明度不高、水体颜色过深等问题，与西溪湿地国家5A级景区的地位以及游人对水体观感需求不匹配。作为开放的水体，西溪湿地在台风暴雨期间存在雨水地表径流污染，以及周边水体返流等引发的水体污染，造成水质波动。大气环境治理存在瓶颈。西溪湿地空气质量主要由外来输入气流决定，内部可改善程度低。目前西溪湿地周边建设工地较多，部分工地存在裸土未覆盖、渣土运输未密闭、监测设备安装不规范等扬尘控制措施不到位的情况，短期内大气环境继续改善存在难度。</w:t>
      </w:r>
    </w:p>
    <w:p>
      <w:pPr>
        <w:tabs>
          <w:tab w:val="left" w:pos="0"/>
        </w:tabs>
        <w:ind w:firstLine="640" w:firstLineChars="200"/>
        <w:outlineLvl w:val="3"/>
        <w:rPr>
          <w:rFonts w:hint="eastAsia" w:ascii="仿宋_GB2312"/>
          <w:bCs/>
          <w:sz w:val="32"/>
          <w:szCs w:val="32"/>
        </w:rPr>
      </w:pPr>
      <w:r>
        <w:rPr>
          <w:rFonts w:hint="eastAsia" w:ascii="仿宋_GB2312"/>
          <w:bCs/>
          <w:sz w:val="32"/>
          <w:szCs w:val="32"/>
        </w:rPr>
        <w:t>2、生态系统稳定性存在隐患</w:t>
      </w:r>
    </w:p>
    <w:p>
      <w:pPr>
        <w:tabs>
          <w:tab w:val="left" w:pos="0"/>
        </w:tabs>
        <w:ind w:firstLine="640" w:firstLineChars="200"/>
        <w:rPr>
          <w:rFonts w:hint="eastAsia" w:ascii="仿宋_GB2312"/>
          <w:sz w:val="32"/>
          <w:szCs w:val="32"/>
        </w:rPr>
      </w:pPr>
      <w:r>
        <w:rPr>
          <w:rFonts w:hint="eastAsia" w:ascii="仿宋_GB2312"/>
          <w:sz w:val="32"/>
          <w:szCs w:val="32"/>
        </w:rPr>
        <w:t>外来入侵生物不容忽视，西溪湿地的优越生境条件为外来入侵物种提供有利生存条件，2020年西溪湿地监测到包括克氏原螯虾、尖膀胱螺、福寿螺等外来入侵动物6种，喜旱莲子草、凤眼莲等外来入侵植物45种。这些外来物种、有害生物的入侵对西溪湿地的影响不容忽视。随着西溪湿地生态旅游的迅速发展和免费区域的扩大，游客流量迅速增长，环境承载能力受到考验。与此同时，游客素质参差不齐，一些不良旅游行为如采摘、踩踏、乱扔垃圾等都会破坏湿地的自然环境，打扰动物的栖息和繁殖，影响湿地生态系统的稳定性。</w:t>
      </w:r>
    </w:p>
    <w:p>
      <w:pPr>
        <w:widowControl/>
        <w:ind w:firstLine="640" w:firstLineChars="200"/>
        <w:outlineLvl w:val="3"/>
        <w:rPr>
          <w:rFonts w:hint="eastAsia" w:ascii="仿宋_GB2312"/>
          <w:bCs/>
          <w:sz w:val="32"/>
          <w:szCs w:val="32"/>
        </w:rPr>
      </w:pPr>
      <w:r>
        <w:rPr>
          <w:rFonts w:hint="eastAsia" w:ascii="仿宋_GB2312"/>
          <w:bCs/>
          <w:sz w:val="32"/>
          <w:szCs w:val="32"/>
        </w:rPr>
        <w:t>3、科研成果转化能力亟待深化</w:t>
      </w:r>
    </w:p>
    <w:p>
      <w:pPr>
        <w:widowControl/>
        <w:ind w:firstLine="640" w:firstLineChars="200"/>
        <w:rPr>
          <w:rFonts w:hint="eastAsia" w:ascii="仿宋_GB2312"/>
          <w:sz w:val="32"/>
          <w:szCs w:val="32"/>
        </w:rPr>
      </w:pPr>
      <w:r>
        <w:rPr>
          <w:rFonts w:hint="eastAsia" w:ascii="仿宋_GB2312"/>
          <w:sz w:val="32"/>
          <w:szCs w:val="32"/>
        </w:rPr>
        <w:t>“十三五”以来，尽管西溪湿地进行了大量的生态观测及科学研究活动，但这些工作都是暂时或专题性的，缺乏系统性和连续性，湿地长期观测与定位研究的投入产出机制不完善，研究成果难以满足西溪湿地实际经营管理的需求，较达到国家行业及地方对湿地生态系统长期定位观测的要求仍有距离。</w:t>
      </w:r>
    </w:p>
    <w:p>
      <w:pPr>
        <w:ind w:firstLine="640" w:firstLineChars="200"/>
        <w:outlineLvl w:val="3"/>
        <w:rPr>
          <w:rFonts w:hint="eastAsia" w:ascii="仿宋_GB2312"/>
          <w:bCs/>
          <w:sz w:val="32"/>
          <w:szCs w:val="32"/>
        </w:rPr>
      </w:pPr>
      <w:r>
        <w:rPr>
          <w:rFonts w:hint="eastAsia" w:ascii="仿宋_GB2312"/>
          <w:bCs/>
          <w:sz w:val="32"/>
          <w:szCs w:val="32"/>
        </w:rPr>
        <w:t>4、生态环境治理体系和治理能力亟需加强</w:t>
      </w:r>
    </w:p>
    <w:p>
      <w:pPr>
        <w:ind w:firstLine="640" w:firstLineChars="200"/>
        <w:rPr>
          <w:rFonts w:hint="eastAsia" w:ascii="仿宋_GB2312"/>
          <w:b/>
          <w:bCs/>
          <w:sz w:val="32"/>
          <w:szCs w:val="32"/>
        </w:rPr>
      </w:pPr>
      <w:r>
        <w:rPr>
          <w:rFonts w:hint="eastAsia" w:ascii="仿宋_GB2312"/>
          <w:sz w:val="32"/>
          <w:szCs w:val="32"/>
        </w:rPr>
        <w:t>在管理治理机制上，启动西湖、西溪一体化保护管理后，部门联动有待加强，生态环境保护职能分工需进一步明确，切实解决湿地公园长期分区而治的问题。在管理治理手段上，目前西溪湿地数字化治理能力亟待提升。既有数字化治理手段不能满足多元化服务需求，尚未实现山水林田湖草全域全要素覆盖的监测，尚未同杭州市、浙江省相关数字化平台进行有效衔接，未能很好地响应数字变革背景下整体智治体系现代化的要求。</w:t>
      </w:r>
    </w:p>
    <w:p>
      <w:pPr>
        <w:pStyle w:val="5"/>
      </w:pPr>
      <w:bookmarkStart w:id="145" w:name="_Toc12017"/>
      <w:bookmarkStart w:id="146" w:name="_Toc19360"/>
      <w:bookmarkStart w:id="147" w:name="_Toc27605"/>
      <w:r>
        <w:rPr>
          <w:rFonts w:hint="eastAsia"/>
        </w:rPr>
        <w:t>三、“十四五”形势分析</w:t>
      </w:r>
      <w:bookmarkEnd w:id="145"/>
      <w:bookmarkEnd w:id="146"/>
      <w:bookmarkEnd w:id="147"/>
    </w:p>
    <w:p>
      <w:pPr>
        <w:widowControl/>
        <w:ind w:firstLine="640" w:firstLineChars="200"/>
        <w:rPr>
          <w:rFonts w:hint="eastAsia" w:ascii="仿宋_GB2312"/>
          <w:sz w:val="32"/>
        </w:rPr>
      </w:pPr>
      <w:r>
        <w:rPr>
          <w:rFonts w:hint="eastAsia" w:ascii="仿宋_GB2312"/>
          <w:sz w:val="32"/>
        </w:rPr>
        <w:t>当前，西溪湿地生态环境保护工作复杂多变、快速发展，外部环境压力和“西湖·西溪”一体化都对生态环境保护工作提出了更高要求，虽然目前西溪湿地生态系统较好，但是生态环境保护工作面临的形势依然严峻复杂，生态环境质量敏感度高，生态环境治理仍然存在薄弱环节。“十四五”期间既面临着严峻挑战，也迎来了难得的发展机遇。</w:t>
      </w:r>
    </w:p>
    <w:p>
      <w:pPr>
        <w:ind w:firstLine="640" w:firstLineChars="200"/>
        <w:outlineLvl w:val="3"/>
        <w:rPr>
          <w:rFonts w:hint="eastAsia" w:ascii="仿宋_GB2312"/>
          <w:bCs/>
          <w:sz w:val="32"/>
        </w:rPr>
      </w:pPr>
      <w:r>
        <w:rPr>
          <w:rFonts w:hint="eastAsia" w:ascii="仿宋_GB2312"/>
          <w:bCs/>
          <w:sz w:val="32"/>
        </w:rPr>
        <w:t>1、新时代美丽杭州建设对湿地发展提出了新要求</w:t>
      </w:r>
    </w:p>
    <w:p>
      <w:pPr>
        <w:ind w:firstLine="640" w:firstLineChars="200"/>
        <w:rPr>
          <w:rFonts w:hint="eastAsia" w:ascii="仿宋_GB2312"/>
          <w:sz w:val="32"/>
        </w:rPr>
      </w:pPr>
      <w:r>
        <w:rPr>
          <w:rFonts w:hint="eastAsia" w:ascii="仿宋_GB2312"/>
          <w:sz w:val="32"/>
        </w:rPr>
        <w:t>2020年6月5日，杭州市委、市政府发布了《新时代美丽杭州建设实施纲要（2020-2035年）》（市委发〔2020〕13号），部署推进新时代美丽杭州建设工作，明确将打造湿地水城作为建设“新时代美丽杭州”的主抓手。西溪湿地作为国际重要湿地，将成为“新时代美丽杭州”建设的重要展示窗口，更高生态环境要求深度切合西溪湿地原生态保护与提升，为杭州“湿地水城”建设和国际湿地城市建设添砖加瓦。</w:t>
      </w:r>
    </w:p>
    <w:p>
      <w:pPr>
        <w:ind w:firstLine="640" w:firstLineChars="200"/>
        <w:outlineLvl w:val="3"/>
        <w:rPr>
          <w:rFonts w:hint="eastAsia" w:ascii="仿宋_GB2312"/>
          <w:bCs/>
          <w:sz w:val="32"/>
        </w:rPr>
      </w:pPr>
      <w:r>
        <w:rPr>
          <w:rFonts w:hint="eastAsia" w:ascii="仿宋_GB2312"/>
          <w:bCs/>
          <w:sz w:val="32"/>
        </w:rPr>
        <w:t>2、党中央对碳达峰、碳中和明确了新目标</w:t>
      </w:r>
    </w:p>
    <w:p>
      <w:pPr>
        <w:ind w:firstLine="640" w:firstLineChars="200"/>
        <w:rPr>
          <w:rFonts w:hint="eastAsia" w:ascii="仿宋_GB2312"/>
          <w:sz w:val="32"/>
        </w:rPr>
      </w:pPr>
      <w:r>
        <w:rPr>
          <w:rFonts w:hint="eastAsia" w:ascii="仿宋_GB2312"/>
          <w:sz w:val="32"/>
        </w:rPr>
        <w:t>国家提出力争碳排放2030年前达峰、努力争取2060年前实现碳中和，支持有条件的地方率先达峰。湿地碳汇在应对气候变化、实现碳中和的目标当中，将会扮演越来越重要的角色。因此将深入推进应对气候变化，坚决落实碳达峰、碳中和的新要求。</w:t>
      </w:r>
    </w:p>
    <w:p>
      <w:pPr>
        <w:ind w:firstLine="640" w:firstLineChars="200"/>
        <w:outlineLvl w:val="3"/>
        <w:rPr>
          <w:rFonts w:hint="eastAsia" w:ascii="仿宋_GB2312"/>
          <w:bCs/>
          <w:sz w:val="32"/>
        </w:rPr>
      </w:pPr>
      <w:r>
        <w:rPr>
          <w:rFonts w:hint="eastAsia" w:ascii="仿宋_GB2312"/>
          <w:bCs/>
          <w:sz w:val="32"/>
        </w:rPr>
        <w:t>3、西湖西溪一体化保护提升为区域生态环境保护带来新方向</w:t>
      </w:r>
    </w:p>
    <w:p>
      <w:pPr>
        <w:ind w:firstLine="640" w:firstLineChars="200"/>
        <w:rPr>
          <w:rFonts w:hint="eastAsia" w:ascii="仿宋_GB2312"/>
          <w:sz w:val="32"/>
        </w:rPr>
      </w:pPr>
      <w:r>
        <w:rPr>
          <w:rFonts w:hint="eastAsia" w:ascii="仿宋_GB2312"/>
          <w:sz w:val="32"/>
        </w:rPr>
        <w:t>2020年6月，杭州市启动了西湖·西溪一体化保护管理，提出联动实施西湖全域综合提升和西溪原生态保护提升，全面打造杭州“两西”三生融合的美丽样板，助力加快建设独特韵味、别样精彩世界名城，为区域生态环境保护提供了新的发展方向。</w:t>
      </w:r>
    </w:p>
    <w:p>
      <w:pPr>
        <w:ind w:firstLine="640" w:firstLineChars="200"/>
        <w:outlineLvl w:val="3"/>
        <w:rPr>
          <w:rFonts w:hint="eastAsia" w:ascii="仿宋_GB2312"/>
          <w:bCs/>
          <w:sz w:val="32"/>
        </w:rPr>
      </w:pPr>
      <w:r>
        <w:rPr>
          <w:rFonts w:hint="eastAsia" w:ascii="仿宋_GB2312"/>
          <w:bCs/>
          <w:sz w:val="32"/>
        </w:rPr>
        <w:t>4、数字化改革为推动生态环境治理体系和治理能力现代化提供了新动能</w:t>
      </w:r>
    </w:p>
    <w:p>
      <w:pPr>
        <w:ind w:firstLine="640" w:firstLineChars="200"/>
        <w:rPr>
          <w:rFonts w:hint="eastAsia" w:ascii="仿宋_GB2312"/>
          <w:sz w:val="32"/>
        </w:rPr>
      </w:pPr>
      <w:r>
        <w:rPr>
          <w:rFonts w:hint="eastAsia" w:ascii="仿宋_GB2312"/>
          <w:sz w:val="32"/>
        </w:rPr>
        <w:t>2020年3月，习近平总书记在杭州考察时，对杭州运用城市大脑赋能城市治理给予了充分肯定。杭州市委市政府也提出了“数智杭州·宜居天堂”的发展导向，对数智赋能生态环境治理提出了更高要求。西溪湿地积极打造“未来景区”数字化新样板，“高水平”、“一体化”推进生态环境治理体系和治理能力现代化。</w:t>
      </w:r>
    </w:p>
    <w:p>
      <w:pPr>
        <w:ind w:firstLine="562"/>
        <w:outlineLvl w:val="3"/>
        <w:rPr>
          <w:rFonts w:hint="eastAsia" w:ascii="仿宋_GB2312"/>
          <w:bCs/>
          <w:sz w:val="32"/>
        </w:rPr>
      </w:pPr>
      <w:r>
        <w:rPr>
          <w:rFonts w:hint="eastAsia" w:ascii="仿宋_GB2312"/>
          <w:bCs/>
          <w:sz w:val="32"/>
        </w:rPr>
        <w:t>5、亚运会的举办对生态环境工作带来了新挑战</w:t>
      </w:r>
    </w:p>
    <w:p>
      <w:pPr>
        <w:widowControl/>
        <w:ind w:firstLine="640" w:firstLineChars="200"/>
        <w:rPr>
          <w:rFonts w:hint="eastAsia" w:ascii="仿宋_GB2312"/>
          <w:sz w:val="32"/>
        </w:rPr>
      </w:pPr>
      <w:r>
        <w:rPr>
          <w:rFonts w:hint="eastAsia" w:ascii="仿宋_GB2312"/>
          <w:sz w:val="32"/>
        </w:rPr>
        <w:t>2022年，杭州将举办第19届亚运会，绿色是杭州亚运会的四大办赛理念之一，空气和水环境质量备受国内外嘉宾、运动员和新闻媒体以及国际社会关注。亚运会是展示“美丽中国”杭州样本建设成果的重要契机，西溪湿地作为杭州市的金名片之一，需要提前谋划、精准管控，共同迎接生态环境工作新挑战。</w:t>
      </w:r>
    </w:p>
    <w:p>
      <w:pPr>
        <w:widowControl/>
        <w:ind w:firstLine="640" w:firstLineChars="200"/>
        <w:rPr>
          <w:rFonts w:hint="eastAsia" w:ascii="仿宋_GB2312" w:hAnsi="黑体" w:cs="黑体"/>
          <w:b/>
          <w:bCs/>
          <w:sz w:val="36"/>
          <w:szCs w:val="24"/>
          <w:highlight w:val="yellow"/>
        </w:rPr>
      </w:pPr>
      <w:r>
        <w:rPr>
          <w:rFonts w:hint="eastAsia" w:ascii="仿宋_GB2312"/>
          <w:sz w:val="32"/>
        </w:rPr>
        <w:t>综上，西溪湿地作为杭州城市自然生态、文化传承、城乡特色凝聚的空间，市委、市政府对湿地原生态保护提升也提出了更高要求。需要在“双西”一体化发展引导下，统筹湿地发展与杭州市整体发展布局，把湿地保护工作融入到新时代美丽杭州建设的大局中，在保护生态环境、挖掘和传承西溪文化、做优做强生态品牌与产品等约束中寻找到新的平衡点，从而使西溪湿地能够发挥更大的生态、经济、社会效益。</w:t>
      </w:r>
    </w:p>
    <w:p>
      <w:pPr>
        <w:rPr>
          <w:rFonts w:hint="eastAsia"/>
        </w:rPr>
      </w:pPr>
      <w:bookmarkStart w:id="148" w:name="_Toc18049"/>
      <w:bookmarkStart w:id="149" w:name="_Toc21805"/>
      <w:bookmarkStart w:id="150" w:name="_Toc27876"/>
      <w:bookmarkStart w:id="151" w:name="_Toc13591"/>
      <w:bookmarkStart w:id="152" w:name="_Toc20695"/>
      <w:bookmarkStart w:id="153" w:name="_Toc20805"/>
      <w:bookmarkStart w:id="154" w:name="_Toc8880"/>
      <w:bookmarkStart w:id="155" w:name="_Toc16047"/>
      <w:bookmarkStart w:id="156" w:name="_Toc17753"/>
      <w:bookmarkStart w:id="157" w:name="_Toc32177"/>
      <w:bookmarkStart w:id="158" w:name="_Toc30290"/>
      <w:bookmarkStart w:id="159" w:name="_Toc2480"/>
      <w:bookmarkStart w:id="160" w:name="_Toc1930"/>
      <w:bookmarkStart w:id="161" w:name="_Toc15005"/>
      <w:bookmarkStart w:id="162" w:name="_Toc14622"/>
      <w:bookmarkStart w:id="163" w:name="_Toc6234"/>
      <w:bookmarkStart w:id="164" w:name="_Toc5936"/>
      <w:bookmarkStart w:id="165" w:name="_Toc16081"/>
      <w:bookmarkStart w:id="166" w:name="_Toc1305"/>
      <w:bookmarkStart w:id="167" w:name="_Toc73"/>
      <w:bookmarkStart w:id="168" w:name="_Toc27069"/>
      <w:bookmarkStart w:id="169" w:name="_Toc589"/>
      <w:bookmarkStart w:id="170" w:name="_Toc29289"/>
      <w:bookmarkStart w:id="171" w:name="_Toc22801"/>
      <w:bookmarkStart w:id="172" w:name="_Toc22325"/>
    </w:p>
    <w:p>
      <w:pPr>
        <w:rPr>
          <w:rFonts w:hint="eastAsia"/>
        </w:rPr>
      </w:pPr>
    </w:p>
    <w:p>
      <w:pPr>
        <w:rPr>
          <w:rFonts w:hint="eastAsia"/>
        </w:rPr>
      </w:pPr>
    </w:p>
    <w:p>
      <w:pPr>
        <w:rPr>
          <w:rFonts w:hint="eastAsia"/>
        </w:rPr>
      </w:pPr>
    </w:p>
    <w:p>
      <w:pPr>
        <w:rPr>
          <w:rFonts w:hint="eastAsia"/>
        </w:rPr>
      </w:pPr>
    </w:p>
    <w:p>
      <w:pPr>
        <w:rPr>
          <w:rFonts w:hint="eastAsia"/>
        </w:rPr>
      </w:pPr>
    </w:p>
    <w:p>
      <w:pPr>
        <w:pStyle w:val="4"/>
      </w:pPr>
      <w:bookmarkStart w:id="173" w:name="_Toc24839"/>
      <w:bookmarkStart w:id="174" w:name="_Toc21187"/>
      <w:bookmarkStart w:id="175" w:name="_Toc28614"/>
      <w:bookmarkStart w:id="176" w:name="_Toc11377"/>
      <w:r>
        <w:rPr>
          <w:rFonts w:hint="eastAsia"/>
        </w:rPr>
        <w:t xml:space="preserve">第二章 </w:t>
      </w:r>
      <w:bookmarkEnd w:id="148"/>
      <w:bookmarkEnd w:id="149"/>
      <w:bookmarkEnd w:id="150"/>
      <w:bookmarkEnd w:id="151"/>
      <w:bookmarkEnd w:id="152"/>
      <w:bookmarkEnd w:id="153"/>
      <w:bookmarkEnd w:id="154"/>
      <w:bookmarkEnd w:id="155"/>
      <w:bookmarkEnd w:id="156"/>
      <w:r>
        <w:rPr>
          <w:rFonts w:hint="eastAsia"/>
        </w:rPr>
        <w:t>总体要求</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pStyle w:val="5"/>
      </w:pPr>
      <w:bookmarkStart w:id="177" w:name="_Toc5800"/>
      <w:bookmarkStart w:id="178" w:name="_Toc15277"/>
      <w:bookmarkStart w:id="179" w:name="_Toc19044"/>
      <w:bookmarkStart w:id="180" w:name="_Toc18630"/>
      <w:bookmarkStart w:id="181" w:name="_Toc3685"/>
      <w:bookmarkStart w:id="182" w:name="_Toc9654"/>
      <w:bookmarkStart w:id="183" w:name="_Toc17120"/>
      <w:bookmarkStart w:id="184" w:name="_Toc27388"/>
      <w:bookmarkStart w:id="185" w:name="_Toc28249"/>
      <w:bookmarkStart w:id="186" w:name="_Toc19116"/>
      <w:bookmarkStart w:id="187" w:name="_Toc26475"/>
      <w:bookmarkStart w:id="188" w:name="_Toc26643"/>
      <w:bookmarkStart w:id="189" w:name="_Toc7319"/>
      <w:bookmarkStart w:id="190" w:name="_Toc29427"/>
      <w:bookmarkStart w:id="191" w:name="_Toc7632"/>
      <w:bookmarkStart w:id="192" w:name="_Toc6395"/>
      <w:bookmarkStart w:id="193" w:name="_Toc30622"/>
      <w:bookmarkStart w:id="194" w:name="_Toc11707"/>
      <w:bookmarkStart w:id="195" w:name="_Toc19142"/>
      <w:bookmarkStart w:id="196" w:name="_Toc25159"/>
      <w:bookmarkStart w:id="197" w:name="_Toc14546"/>
      <w:bookmarkStart w:id="198" w:name="_Toc1830"/>
      <w:bookmarkStart w:id="199" w:name="_Toc18757"/>
      <w:bookmarkStart w:id="200" w:name="_Toc22926"/>
      <w:bookmarkStart w:id="201" w:name="_Toc31754"/>
      <w:bookmarkStart w:id="202" w:name="_Toc14935"/>
      <w:bookmarkStart w:id="203" w:name="_Toc9552"/>
      <w:bookmarkStart w:id="204" w:name="_Toc23204"/>
      <w:bookmarkStart w:id="205" w:name="_Toc14219"/>
      <w:r>
        <w:t>一、指导思想</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pStyle w:val="10"/>
        <w:spacing w:after="0"/>
        <w:ind w:left="0" w:leftChars="0" w:firstLine="640"/>
        <w:rPr>
          <w:rFonts w:eastAsia="仿宋_GB2312"/>
          <w:sz w:val="32"/>
        </w:rPr>
      </w:pPr>
      <w:r>
        <w:rPr>
          <w:rFonts w:eastAsia="仿宋_GB2312"/>
          <w:sz w:val="32"/>
        </w:rPr>
        <w:t>深入贯彻习近平总书记</w:t>
      </w:r>
      <w:r>
        <w:rPr>
          <w:rFonts w:hint="eastAsia" w:eastAsia="仿宋_GB2312"/>
          <w:sz w:val="32"/>
        </w:rPr>
        <w:t>考察</w:t>
      </w:r>
      <w:r>
        <w:rPr>
          <w:rFonts w:eastAsia="仿宋_GB2312"/>
          <w:sz w:val="32"/>
        </w:rPr>
        <w:t>西溪湿地重要讲话精神，</w:t>
      </w:r>
      <w:r>
        <w:rPr>
          <w:rFonts w:hint="eastAsia" w:eastAsia="仿宋_GB2312"/>
          <w:sz w:val="32"/>
        </w:rPr>
        <w:t>坚定践行“绿水青山就是金山银山”理念，以持续改善生态环境质量为核心，以协同推动生态环境高水平保护和经济高质量发展为主线，以全面提升生态环境治理体系和治理能力现代化为支撑，全力打好环境巩固提升持久战，有效防控环境风险，维护生态安全，积极应对气候变化，不断厚植生态文明特色优势，加快助力建设人与自然和谐相处、共生共荣的宜居城市，努力打造新时代全面展示习近平生态文明思想的重要窗口，</w:t>
      </w:r>
      <w:r>
        <w:rPr>
          <w:rFonts w:eastAsia="仿宋_GB2312"/>
          <w:sz w:val="32"/>
        </w:rPr>
        <w:t>为杭州建成具有全球影响力的独特韵味别样精彩世界名城奠定良好的生态基础。</w:t>
      </w:r>
    </w:p>
    <w:p>
      <w:pPr>
        <w:pStyle w:val="5"/>
      </w:pPr>
      <w:bookmarkStart w:id="206" w:name="_Toc27374"/>
      <w:bookmarkStart w:id="207" w:name="_Toc7045"/>
      <w:bookmarkStart w:id="208" w:name="_Toc19359"/>
      <w:bookmarkStart w:id="209" w:name="_Toc11804"/>
      <w:bookmarkStart w:id="210" w:name="_Toc24842"/>
      <w:bookmarkStart w:id="211" w:name="_Toc27319"/>
      <w:bookmarkStart w:id="212" w:name="_Toc25301"/>
      <w:bookmarkStart w:id="213" w:name="_Toc8070"/>
      <w:bookmarkStart w:id="214" w:name="_Toc22386"/>
      <w:bookmarkStart w:id="215" w:name="_Toc6235"/>
      <w:bookmarkStart w:id="216" w:name="_Toc2193"/>
      <w:bookmarkStart w:id="217" w:name="_Toc27139"/>
      <w:bookmarkStart w:id="218" w:name="_Toc18958"/>
      <w:bookmarkStart w:id="219" w:name="_Toc6652"/>
      <w:bookmarkStart w:id="220" w:name="_Toc26658"/>
      <w:bookmarkStart w:id="221" w:name="_Toc12608"/>
      <w:bookmarkStart w:id="222" w:name="_Toc11769"/>
      <w:bookmarkStart w:id="223" w:name="_Toc23344"/>
      <w:bookmarkStart w:id="224" w:name="_Toc15294"/>
      <w:bookmarkStart w:id="225" w:name="_Toc30177"/>
      <w:bookmarkStart w:id="226" w:name="_Toc13817"/>
      <w:bookmarkStart w:id="227" w:name="_Toc31255"/>
      <w:bookmarkStart w:id="228" w:name="_Toc31770"/>
      <w:bookmarkStart w:id="229" w:name="_Toc5595"/>
      <w:bookmarkStart w:id="230" w:name="_Toc26389"/>
      <w:bookmarkStart w:id="231" w:name="_Toc22015"/>
      <w:bookmarkStart w:id="232" w:name="_Toc21293"/>
      <w:bookmarkStart w:id="233" w:name="_Toc1516"/>
      <w:bookmarkStart w:id="234" w:name="_Toc4370"/>
      <w:r>
        <w:t>二、基本原则</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pStyle w:val="6"/>
        <w:ind w:firstLine="640"/>
        <w:rPr>
          <w:rFonts w:hint="eastAsia" w:ascii="楷体_GB2312" w:eastAsia="楷体_GB2312"/>
          <w:b w:val="0"/>
        </w:rPr>
      </w:pPr>
      <w:bookmarkStart w:id="235" w:name="_Toc3578"/>
      <w:bookmarkStart w:id="236" w:name="_Toc24573"/>
      <w:bookmarkStart w:id="237" w:name="_Toc30211"/>
      <w:bookmarkStart w:id="238" w:name="_Toc29129"/>
      <w:bookmarkStart w:id="239" w:name="_Toc14336"/>
      <w:bookmarkStart w:id="240" w:name="_Toc24047"/>
      <w:bookmarkStart w:id="241" w:name="_Toc29866"/>
      <w:bookmarkStart w:id="242" w:name="_Toc13143"/>
      <w:bookmarkStart w:id="243" w:name="_Toc2471"/>
      <w:bookmarkStart w:id="244" w:name="_Toc16172"/>
      <w:bookmarkStart w:id="245" w:name="_Toc26465"/>
      <w:bookmarkStart w:id="246" w:name="_Toc10362"/>
      <w:bookmarkStart w:id="247" w:name="_Toc10293"/>
      <w:bookmarkStart w:id="248" w:name="_Toc16668"/>
      <w:bookmarkStart w:id="249" w:name="_Toc23119"/>
      <w:bookmarkStart w:id="250" w:name="_Toc14042"/>
      <w:r>
        <w:rPr>
          <w:rFonts w:hint="eastAsia" w:ascii="楷体_GB2312" w:eastAsia="楷体_GB2312"/>
          <w:b w:val="0"/>
        </w:rPr>
        <w:t>（一）全面保护原则</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ind w:firstLine="640" w:firstLineChars="200"/>
        <w:rPr>
          <w:sz w:val="32"/>
        </w:rPr>
      </w:pPr>
      <w:r>
        <w:rPr>
          <w:sz w:val="32"/>
        </w:rPr>
        <w:t>积极采取有力措施，坚持生态优先、最小干预、科学修复，以改善西溪湿地</w:t>
      </w:r>
      <w:r>
        <w:rPr>
          <w:rFonts w:hint="eastAsia"/>
          <w:sz w:val="32"/>
        </w:rPr>
        <w:t>环境质量</w:t>
      </w:r>
      <w:r>
        <w:rPr>
          <w:sz w:val="32"/>
        </w:rPr>
        <w:t>为核心，全面保护西溪湿地动植物资源</w:t>
      </w:r>
      <w:r>
        <w:rPr>
          <w:rFonts w:hint="eastAsia"/>
          <w:sz w:val="32"/>
        </w:rPr>
        <w:t>以及</w:t>
      </w:r>
      <w:r>
        <w:rPr>
          <w:sz w:val="32"/>
        </w:rPr>
        <w:t>以典型湿地生境为重点的生态系统多样性，保障湿地生态系统结构和功能的完整性，实现湿地生态系统的良性循环</w:t>
      </w:r>
      <w:r>
        <w:rPr>
          <w:rFonts w:hint="eastAsia"/>
          <w:sz w:val="32"/>
        </w:rPr>
        <w:t>，</w:t>
      </w:r>
      <w:r>
        <w:rPr>
          <w:sz w:val="32"/>
        </w:rPr>
        <w:t>改善湿地生态环境。</w:t>
      </w:r>
    </w:p>
    <w:p>
      <w:pPr>
        <w:pStyle w:val="6"/>
        <w:ind w:firstLine="640"/>
        <w:rPr>
          <w:rFonts w:hint="eastAsia" w:ascii="楷体_GB2312" w:eastAsia="楷体_GB2312"/>
          <w:b w:val="0"/>
        </w:rPr>
      </w:pPr>
      <w:bookmarkStart w:id="251" w:name="_Toc31323"/>
      <w:bookmarkStart w:id="252" w:name="_Toc24256"/>
      <w:bookmarkStart w:id="253" w:name="_Toc28395"/>
      <w:bookmarkStart w:id="254" w:name="_Toc10060"/>
      <w:bookmarkStart w:id="255" w:name="_Toc28144"/>
      <w:bookmarkStart w:id="256" w:name="_Toc29747"/>
      <w:bookmarkStart w:id="257" w:name="_Toc27050"/>
      <w:bookmarkStart w:id="258" w:name="_Toc653"/>
      <w:bookmarkStart w:id="259" w:name="_Toc19712"/>
      <w:bookmarkStart w:id="260" w:name="_Toc18341"/>
      <w:bookmarkStart w:id="261" w:name="_Toc12218"/>
      <w:bookmarkStart w:id="262" w:name="_Toc12570"/>
      <w:bookmarkStart w:id="263" w:name="_Toc28453"/>
      <w:bookmarkStart w:id="264" w:name="_Toc17381"/>
      <w:bookmarkStart w:id="265" w:name="_Toc31789"/>
      <w:bookmarkStart w:id="266" w:name="_Toc5492"/>
      <w:r>
        <w:rPr>
          <w:rFonts w:hint="eastAsia" w:ascii="楷体_GB2312" w:eastAsia="楷体_GB2312"/>
          <w:b w:val="0"/>
        </w:rPr>
        <w:t>（二）凸显特色原则</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ind w:firstLine="640" w:firstLineChars="200"/>
        <w:rPr>
          <w:sz w:val="32"/>
        </w:rPr>
      </w:pPr>
      <w:r>
        <w:rPr>
          <w:sz w:val="32"/>
        </w:rPr>
        <w:t>延续西溪湿地上千年的柿基鱼塘、桑基鱼塘、竹基鱼塘等多种植基鱼塘湿地景观，维护西溪湿地河港、池塘、湖漾、沼泽、岛屿、圩堤等丰富多变的自然景观结构，深入挖掘西溪湿地深厚的历史文化底蕴，大力继承和弘扬西溪湿地深厚的、丰富多彩的历史文化</w:t>
      </w:r>
      <w:r>
        <w:rPr>
          <w:rFonts w:hint="eastAsia"/>
          <w:sz w:val="32"/>
        </w:rPr>
        <w:t>，</w:t>
      </w:r>
      <w:r>
        <w:rPr>
          <w:sz w:val="32"/>
        </w:rPr>
        <w:t>凸显西溪湿地特色，全力打造</w:t>
      </w:r>
      <w:r>
        <w:rPr>
          <w:rFonts w:hint="eastAsia"/>
          <w:sz w:val="32"/>
        </w:rPr>
        <w:t>保护和合理利用双赢的湿地保护“西溪模式”</w:t>
      </w:r>
      <w:r>
        <w:rPr>
          <w:sz w:val="32"/>
        </w:rPr>
        <w:t>。</w:t>
      </w:r>
    </w:p>
    <w:p>
      <w:pPr>
        <w:pStyle w:val="6"/>
        <w:tabs>
          <w:tab w:val="left" w:pos="7095"/>
        </w:tabs>
        <w:ind w:firstLine="640"/>
        <w:rPr>
          <w:rFonts w:hint="eastAsia" w:ascii="楷体_GB2312" w:eastAsia="楷体_GB2312"/>
          <w:b w:val="0"/>
        </w:rPr>
      </w:pPr>
      <w:bookmarkStart w:id="267" w:name="_Toc20443"/>
      <w:bookmarkStart w:id="268" w:name="_Toc30031"/>
      <w:bookmarkStart w:id="269" w:name="_Toc9220"/>
      <w:bookmarkStart w:id="270" w:name="_Toc5399"/>
      <w:bookmarkStart w:id="271" w:name="_Toc21453"/>
      <w:bookmarkStart w:id="272" w:name="_Toc17789"/>
      <w:bookmarkStart w:id="273" w:name="_Toc30524"/>
      <w:bookmarkStart w:id="274" w:name="_Toc10568"/>
      <w:bookmarkStart w:id="275" w:name="_Toc4007"/>
      <w:bookmarkStart w:id="276" w:name="_Toc21248"/>
      <w:bookmarkStart w:id="277" w:name="_Toc24547"/>
      <w:bookmarkStart w:id="278" w:name="_Toc16183"/>
      <w:bookmarkStart w:id="279" w:name="_Toc354"/>
      <w:bookmarkStart w:id="280" w:name="_Toc3336"/>
      <w:bookmarkStart w:id="281" w:name="_Toc7492"/>
      <w:bookmarkStart w:id="282" w:name="_Toc28019"/>
      <w:r>
        <w:rPr>
          <w:rFonts w:hint="eastAsia" w:ascii="楷体_GB2312" w:eastAsia="楷体_GB2312"/>
          <w:b w:val="0"/>
        </w:rPr>
        <w:t>（三）注重宣教原则</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hint="eastAsia" w:ascii="楷体_GB2312" w:eastAsia="楷体_GB2312"/>
          <w:b w:val="0"/>
        </w:rPr>
        <w:tab/>
      </w:r>
    </w:p>
    <w:p>
      <w:pPr>
        <w:ind w:firstLine="640" w:firstLineChars="200"/>
        <w:rPr>
          <w:sz w:val="32"/>
        </w:rPr>
      </w:pPr>
      <w:r>
        <w:rPr>
          <w:sz w:val="32"/>
        </w:rPr>
        <w:t>充分利用西溪湿地独具特色的自然景观资源和深厚的历史文化积淀，因地制宜设置科普宣教场所，凝练宣教主题，明确科普宣教的主要内容、建设重点和展示布局，构建完整、先进的宣传教育体系，向社会公众宣传湿地功能价值，普及湿地科学知识，展示西溪湿地资源特色和价值，继承和弘扬湿地生态文化，讲好西溪湿地的故事。</w:t>
      </w:r>
    </w:p>
    <w:p>
      <w:pPr>
        <w:pStyle w:val="6"/>
        <w:tabs>
          <w:tab w:val="left" w:pos="6975"/>
        </w:tabs>
        <w:ind w:firstLine="640"/>
        <w:rPr>
          <w:rFonts w:hint="eastAsia" w:ascii="楷体_GB2312" w:eastAsia="楷体_GB2312"/>
          <w:b w:val="0"/>
        </w:rPr>
      </w:pPr>
      <w:bookmarkStart w:id="283" w:name="_Toc20490"/>
      <w:bookmarkStart w:id="284" w:name="_Toc27759"/>
      <w:bookmarkStart w:id="285" w:name="_Toc21699"/>
      <w:bookmarkStart w:id="286" w:name="_Toc11151"/>
      <w:bookmarkStart w:id="287" w:name="_Toc7428"/>
      <w:bookmarkStart w:id="288" w:name="_Toc5095"/>
      <w:bookmarkStart w:id="289" w:name="_Toc27988"/>
      <w:bookmarkStart w:id="290" w:name="_Toc2937"/>
      <w:bookmarkStart w:id="291" w:name="_Toc21774"/>
      <w:bookmarkStart w:id="292" w:name="_Toc26944"/>
      <w:bookmarkStart w:id="293" w:name="_Toc4258"/>
      <w:bookmarkStart w:id="294" w:name="_Toc24475"/>
      <w:bookmarkStart w:id="295" w:name="_Toc23702"/>
      <w:bookmarkStart w:id="296" w:name="_Toc14402"/>
      <w:bookmarkStart w:id="297" w:name="_Toc29680"/>
      <w:bookmarkStart w:id="298" w:name="_Toc14108"/>
      <w:r>
        <w:rPr>
          <w:rFonts w:hint="eastAsia" w:ascii="楷体_GB2312" w:eastAsia="楷体_GB2312"/>
          <w:b w:val="0"/>
        </w:rPr>
        <w:t>（四）强化研究原则</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ascii="楷体_GB2312" w:eastAsia="楷体_GB2312"/>
          <w:b w:val="0"/>
        </w:rPr>
        <w:tab/>
      </w:r>
    </w:p>
    <w:p>
      <w:pPr>
        <w:ind w:firstLine="640" w:firstLineChars="200"/>
        <w:rPr>
          <w:sz w:val="32"/>
        </w:rPr>
      </w:pPr>
      <w:r>
        <w:rPr>
          <w:sz w:val="32"/>
        </w:rPr>
        <w:t>重视和加强湿地科学研究与资源监测</w:t>
      </w:r>
      <w:r>
        <w:rPr>
          <w:rFonts w:hint="eastAsia"/>
          <w:sz w:val="32"/>
        </w:rPr>
        <w:t>。</w:t>
      </w:r>
      <w:r>
        <w:rPr>
          <w:sz w:val="32"/>
        </w:rPr>
        <w:t>加大资金投入，改善西溪湿地科研监测设施设备，加强科研队伍建设，提升科研水平，加强湿地科学前沿领域的研究，打造国内一流、具有国际影响力的湿地科学和湿地文化综合研究高地。</w:t>
      </w:r>
    </w:p>
    <w:p>
      <w:pPr>
        <w:pStyle w:val="5"/>
      </w:pPr>
      <w:bookmarkStart w:id="299" w:name="_Toc24578"/>
      <w:bookmarkStart w:id="300" w:name="_Toc30286"/>
      <w:bookmarkStart w:id="301" w:name="_Toc19160"/>
      <w:bookmarkStart w:id="302" w:name="_Toc14877"/>
      <w:bookmarkStart w:id="303" w:name="_Toc16560"/>
      <w:bookmarkStart w:id="304" w:name="_Toc32527"/>
      <w:bookmarkStart w:id="305" w:name="_Toc451"/>
      <w:bookmarkStart w:id="306" w:name="_Toc28964"/>
      <w:bookmarkStart w:id="307" w:name="_Toc7222"/>
      <w:bookmarkStart w:id="308" w:name="_Toc1276"/>
      <w:bookmarkStart w:id="309" w:name="_Toc2383"/>
      <w:bookmarkStart w:id="310" w:name="_Toc22462"/>
      <w:bookmarkStart w:id="311" w:name="_Toc13566"/>
      <w:bookmarkStart w:id="312" w:name="_Toc20093"/>
      <w:bookmarkStart w:id="313" w:name="_Toc11705"/>
      <w:bookmarkStart w:id="314" w:name="_Toc28963"/>
      <w:bookmarkStart w:id="315" w:name="_Toc24064"/>
      <w:bookmarkStart w:id="316" w:name="_Toc22499"/>
      <w:bookmarkStart w:id="317" w:name="_Toc28791"/>
      <w:bookmarkStart w:id="318" w:name="_Toc21848"/>
      <w:bookmarkStart w:id="319" w:name="_Toc29152"/>
      <w:bookmarkStart w:id="320" w:name="_Toc166"/>
      <w:bookmarkStart w:id="321" w:name="_Toc9502"/>
      <w:bookmarkStart w:id="322" w:name="_Toc16606"/>
      <w:bookmarkStart w:id="323" w:name="_Toc24929"/>
      <w:bookmarkStart w:id="324" w:name="_Toc2504"/>
      <w:bookmarkStart w:id="325" w:name="_Toc9790"/>
      <w:bookmarkStart w:id="326" w:name="_Toc21103"/>
      <w:bookmarkStart w:id="327" w:name="_Toc17275"/>
      <w:r>
        <w:t>三、</w:t>
      </w:r>
      <w:r>
        <w:rPr>
          <w:rFonts w:hint="eastAsia"/>
        </w:rPr>
        <w:t>编制依据</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6"/>
        <w:ind w:firstLine="640"/>
        <w:rPr>
          <w:rFonts w:hint="eastAsia" w:ascii="楷体_GB2312" w:eastAsia="楷体_GB2312"/>
          <w:b w:val="0"/>
        </w:rPr>
      </w:pPr>
      <w:bookmarkStart w:id="328" w:name="_Toc11879"/>
      <w:bookmarkStart w:id="329" w:name="_Toc21825"/>
      <w:bookmarkStart w:id="330" w:name="_Toc4624"/>
      <w:bookmarkStart w:id="331" w:name="_Toc124"/>
      <w:bookmarkStart w:id="332" w:name="_Toc14882"/>
      <w:bookmarkStart w:id="333" w:name="_Toc27781"/>
      <w:r>
        <w:rPr>
          <w:rFonts w:hint="eastAsia" w:ascii="楷体_GB2312" w:eastAsia="楷体_GB2312"/>
          <w:b w:val="0"/>
        </w:rPr>
        <w:t>（一）法律法规</w:t>
      </w:r>
      <w:bookmarkEnd w:id="328"/>
      <w:bookmarkEnd w:id="329"/>
      <w:bookmarkEnd w:id="330"/>
      <w:bookmarkEnd w:id="331"/>
      <w:bookmarkEnd w:id="332"/>
      <w:bookmarkEnd w:id="333"/>
    </w:p>
    <w:p>
      <w:pPr>
        <w:ind w:left="560" w:leftChars="200"/>
      </w:pPr>
      <w:r>
        <w:rPr>
          <w:rFonts w:hint="eastAsia"/>
        </w:rPr>
        <w:t>（1）《中华人民共和国环境保护法》，2015年；</w:t>
      </w:r>
    </w:p>
    <w:p>
      <w:pPr>
        <w:ind w:left="560" w:leftChars="200"/>
      </w:pPr>
      <w:r>
        <w:rPr>
          <w:rFonts w:hint="eastAsia"/>
        </w:rPr>
        <w:t>（2）《中华人民共和国水污染防治法》，2017年；</w:t>
      </w:r>
    </w:p>
    <w:p>
      <w:pPr>
        <w:ind w:firstLine="560" w:firstLineChars="200"/>
      </w:pPr>
      <w:r>
        <w:rPr>
          <w:rFonts w:hint="eastAsia"/>
        </w:rPr>
        <w:t>（3）《中华人民共和国水法》，2002年；</w:t>
      </w:r>
    </w:p>
    <w:p>
      <w:pPr>
        <w:ind w:firstLine="560" w:firstLineChars="200"/>
      </w:pPr>
      <w:r>
        <w:rPr>
          <w:rFonts w:hint="eastAsia"/>
        </w:rPr>
        <w:t>（4）《中华人民共和国大气污染防治法》，2018年；</w:t>
      </w:r>
    </w:p>
    <w:p>
      <w:pPr>
        <w:ind w:firstLine="560" w:firstLineChars="200"/>
      </w:pPr>
      <w:r>
        <w:rPr>
          <w:rFonts w:hint="eastAsia"/>
        </w:rPr>
        <w:t>（5）《中华人民共和国环境噪声污染防治法》，2018年；</w:t>
      </w:r>
    </w:p>
    <w:p>
      <w:pPr>
        <w:ind w:firstLine="560" w:firstLineChars="200"/>
      </w:pPr>
      <w:r>
        <w:rPr>
          <w:rFonts w:hint="eastAsia"/>
        </w:rPr>
        <w:t>（6）《中华人民共和国固体废物污染环境防治法》，2020年；</w:t>
      </w:r>
    </w:p>
    <w:p>
      <w:pPr>
        <w:ind w:firstLine="560" w:firstLineChars="200"/>
        <w:rPr>
          <w:rFonts w:hint="eastAsia"/>
        </w:rPr>
      </w:pPr>
      <w:r>
        <w:rPr>
          <w:rFonts w:hint="eastAsia"/>
        </w:rPr>
        <w:t>（7）《浙江省湿地保护条例》，2012年；</w:t>
      </w:r>
    </w:p>
    <w:p>
      <w:pPr>
        <w:ind w:firstLine="560" w:firstLineChars="200"/>
      </w:pPr>
      <w:r>
        <w:rPr>
          <w:rFonts w:hint="eastAsia"/>
        </w:rPr>
        <w:t>（8）《杭州西溪国家湿地公园保护管理条例》，2021年；</w:t>
      </w:r>
    </w:p>
    <w:p>
      <w:pPr>
        <w:ind w:firstLine="560" w:firstLineChars="200"/>
      </w:pPr>
      <w:r>
        <w:rPr>
          <w:rFonts w:hint="eastAsia"/>
        </w:rPr>
        <w:t>（9）其他相关法律法规。</w:t>
      </w:r>
    </w:p>
    <w:p>
      <w:pPr>
        <w:pStyle w:val="6"/>
        <w:ind w:firstLine="640"/>
        <w:rPr>
          <w:rFonts w:hint="eastAsia" w:ascii="楷体_GB2312" w:eastAsia="楷体_GB2312"/>
          <w:b w:val="0"/>
        </w:rPr>
      </w:pPr>
      <w:bookmarkStart w:id="334" w:name="_Toc18953"/>
      <w:bookmarkStart w:id="335" w:name="_Toc18144"/>
      <w:bookmarkStart w:id="336" w:name="_Toc3408"/>
      <w:bookmarkStart w:id="337" w:name="_Toc1886"/>
      <w:bookmarkStart w:id="338" w:name="_Toc13272"/>
      <w:bookmarkStart w:id="339" w:name="_Toc17215"/>
      <w:r>
        <w:rPr>
          <w:rStyle w:val="13"/>
          <w:rFonts w:hint="eastAsia" w:ascii="楷体_GB2312" w:eastAsia="楷体_GB2312"/>
          <w:b w:val="0"/>
        </w:rPr>
        <w:t>（二）其他规范性</w:t>
      </w:r>
      <w:r>
        <w:rPr>
          <w:rFonts w:hint="eastAsia" w:ascii="楷体_GB2312" w:eastAsia="楷体_GB2312"/>
          <w:b w:val="0"/>
        </w:rPr>
        <w:t>文件、</w:t>
      </w:r>
      <w:r>
        <w:rPr>
          <w:rStyle w:val="13"/>
          <w:rFonts w:hint="eastAsia" w:ascii="楷体_GB2312" w:eastAsia="楷体_GB2312"/>
          <w:b w:val="0"/>
        </w:rPr>
        <w:t>规划和方案</w:t>
      </w:r>
      <w:bookmarkEnd w:id="334"/>
      <w:bookmarkEnd w:id="335"/>
      <w:bookmarkEnd w:id="336"/>
      <w:bookmarkEnd w:id="337"/>
      <w:bookmarkEnd w:id="338"/>
      <w:bookmarkEnd w:id="339"/>
    </w:p>
    <w:p>
      <w:pPr>
        <w:ind w:firstLine="560" w:firstLineChars="200"/>
      </w:pPr>
      <w:r>
        <w:rPr>
          <w:rFonts w:hint="eastAsia"/>
        </w:rPr>
        <w:t>（1）《浙江省生态环境厅 浙江省农业农村厅 浙江省水利厅关于印发&lt;浙江省水生生物多样性保护实施方案&gt;的通知》（浙环函〔2020〕106号）；</w:t>
      </w:r>
    </w:p>
    <w:p>
      <w:pPr>
        <w:ind w:firstLine="560" w:firstLineChars="200"/>
      </w:pPr>
      <w:r>
        <w:rPr>
          <w:rFonts w:hint="eastAsia"/>
        </w:rPr>
        <w:t>（2）《浙江省生态环境厅关于执行&lt;国家排放标准大气污染物特别排放限值&gt;的通告》（浙环发〔2019〕14号）；</w:t>
      </w:r>
    </w:p>
    <w:p>
      <w:pPr>
        <w:ind w:firstLine="560" w:firstLineChars="200"/>
        <w:rPr>
          <w:rFonts w:hint="eastAsia"/>
        </w:rPr>
      </w:pPr>
      <w:r>
        <w:rPr>
          <w:rFonts w:hint="eastAsia"/>
        </w:rPr>
        <w:t>（3）《中共杭州市委 杭州市人民政府关于印发&lt;新时代美丽杭州建设实施纲要（2020-2035年）&gt;的通知》（市委发〔2020〕13号）；</w:t>
      </w:r>
    </w:p>
    <w:p>
      <w:pPr>
        <w:ind w:firstLine="560" w:firstLineChars="200"/>
        <w:rPr>
          <w:rFonts w:hint="eastAsia"/>
        </w:rPr>
      </w:pPr>
      <w:r>
        <w:rPr>
          <w:rFonts w:hint="eastAsia"/>
        </w:rPr>
        <w:t>（4）《杭州市生态环境局关于印发&lt;杭州市“三线一单”生态环境分区管控方案&gt;的通知》（杭环发〔2020〕56号）；</w:t>
      </w:r>
    </w:p>
    <w:p>
      <w:pPr>
        <w:ind w:firstLine="560" w:firstLineChars="200"/>
      </w:pPr>
      <w:r>
        <w:rPr>
          <w:rFonts w:hint="eastAsia"/>
        </w:rPr>
        <w:t>（5）《关于建立以国家公园为主体的自然保护地体系的指导意见》，2019年；</w:t>
      </w:r>
    </w:p>
    <w:p>
      <w:pPr>
        <w:ind w:firstLine="560" w:firstLineChars="200"/>
        <w:rPr>
          <w:rFonts w:hint="eastAsia"/>
        </w:rPr>
      </w:pPr>
      <w:r>
        <w:rPr>
          <w:rFonts w:hint="eastAsia"/>
        </w:rPr>
        <w:t>（6）《杭州市国土空间总体规划（2021-2035年）》，2021年；</w:t>
      </w:r>
    </w:p>
    <w:p>
      <w:pPr>
        <w:ind w:firstLine="560" w:firstLineChars="200"/>
        <w:rPr>
          <w:rFonts w:hint="eastAsia"/>
        </w:rPr>
      </w:pPr>
      <w:r>
        <w:rPr>
          <w:rFonts w:hint="eastAsia"/>
        </w:rPr>
        <w:t>（7）《杭州市湿地保护“十四五”规划》，2021年；</w:t>
      </w:r>
    </w:p>
    <w:p>
      <w:pPr>
        <w:ind w:firstLine="560" w:firstLineChars="200"/>
      </w:pPr>
      <w:r>
        <w:rPr>
          <w:rFonts w:hint="eastAsia"/>
        </w:rPr>
        <w:t>（8）《杭州市生态环境保护“十四五”规划》，2021年；</w:t>
      </w:r>
    </w:p>
    <w:p>
      <w:pPr>
        <w:ind w:firstLine="560" w:firstLineChars="200"/>
      </w:pPr>
      <w:r>
        <w:rPr>
          <w:rFonts w:hint="eastAsia"/>
        </w:rPr>
        <w:t>（9）《杭州市重点流域水生态环境保护“十四五”规划》，2021年；</w:t>
      </w:r>
    </w:p>
    <w:p>
      <w:pPr>
        <w:ind w:firstLine="560" w:firstLineChars="200"/>
      </w:pPr>
      <w:r>
        <w:rPr>
          <w:rFonts w:hint="eastAsia"/>
        </w:rPr>
        <w:t>（10）《杭州市“十四五”大气污染防治专项规划》，2021年；</w:t>
      </w:r>
    </w:p>
    <w:p>
      <w:pPr>
        <w:ind w:firstLine="560" w:firstLineChars="200"/>
      </w:pPr>
      <w:r>
        <w:rPr>
          <w:rFonts w:hint="eastAsia"/>
        </w:rPr>
        <w:t>（11）《杭州西溪国家湿地公园功能区划定方案》，2019年；</w:t>
      </w:r>
    </w:p>
    <w:p>
      <w:pPr>
        <w:ind w:firstLine="560" w:firstLineChars="200"/>
      </w:pPr>
      <w:r>
        <w:rPr>
          <w:rFonts w:hint="eastAsia"/>
        </w:rPr>
        <w:t>（12）《杭州市西溪湿地水环境提升方案研究》，2020年；</w:t>
      </w:r>
    </w:p>
    <w:p>
      <w:pPr>
        <w:ind w:firstLine="560" w:firstLineChars="200"/>
      </w:pPr>
      <w:bookmarkStart w:id="340" w:name="_Toc1655"/>
      <w:bookmarkStart w:id="341" w:name="_Toc29421"/>
      <w:bookmarkStart w:id="342" w:name="_Toc31918"/>
      <w:bookmarkStart w:id="343" w:name="_Toc28379"/>
      <w:bookmarkStart w:id="344" w:name="_Toc18762"/>
      <w:r>
        <w:rPr>
          <w:rFonts w:hint="eastAsia"/>
        </w:rPr>
        <w:t>（13）其他相关规范性文件、规划和方案。</w:t>
      </w:r>
    </w:p>
    <w:p>
      <w:pPr>
        <w:pStyle w:val="5"/>
      </w:pPr>
      <w:bookmarkStart w:id="345" w:name="_Toc9169"/>
      <w:bookmarkStart w:id="346" w:name="_Toc19410"/>
      <w:bookmarkStart w:id="347" w:name="_Toc24721"/>
      <w:bookmarkStart w:id="348" w:name="_Toc385"/>
      <w:bookmarkStart w:id="349" w:name="_Toc5628"/>
      <w:bookmarkStart w:id="350" w:name="_Toc28797"/>
      <w:bookmarkStart w:id="351" w:name="_Toc20223"/>
      <w:bookmarkStart w:id="352" w:name="_Toc12192"/>
      <w:bookmarkStart w:id="353" w:name="_Toc181"/>
      <w:bookmarkStart w:id="354" w:name="_Toc18792"/>
      <w:bookmarkStart w:id="355" w:name="_Toc13981"/>
      <w:bookmarkStart w:id="356" w:name="_Toc13498"/>
      <w:bookmarkStart w:id="357" w:name="_Toc22738"/>
      <w:bookmarkStart w:id="358" w:name="_Toc1401"/>
      <w:r>
        <w:rPr>
          <w:rFonts w:hint="eastAsia"/>
        </w:rPr>
        <w:t>四、</w:t>
      </w:r>
      <w:r>
        <w:t>目标指标</w:t>
      </w:r>
      <w:bookmarkEnd w:id="318"/>
      <w:bookmarkEnd w:id="319"/>
      <w:bookmarkEnd w:id="320"/>
      <w:bookmarkEnd w:id="321"/>
      <w:bookmarkEnd w:id="322"/>
      <w:bookmarkEnd w:id="323"/>
      <w:bookmarkEnd w:id="324"/>
      <w:bookmarkEnd w:id="325"/>
      <w:bookmarkEnd w:id="326"/>
      <w:bookmarkEnd w:id="32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6"/>
        <w:ind w:firstLine="640"/>
        <w:rPr>
          <w:rFonts w:hint="eastAsia" w:ascii="楷体_GB2312" w:eastAsia="楷体_GB2312"/>
          <w:b w:val="0"/>
        </w:rPr>
      </w:pPr>
      <w:bookmarkStart w:id="359" w:name="_Toc16962"/>
      <w:bookmarkStart w:id="360" w:name="_Toc17772"/>
      <w:bookmarkStart w:id="361" w:name="_Toc2323"/>
      <w:bookmarkStart w:id="362" w:name="_Toc3958"/>
      <w:bookmarkStart w:id="363" w:name="_Toc31516"/>
      <w:bookmarkStart w:id="364" w:name="_Toc11890"/>
      <w:bookmarkStart w:id="365" w:name="_Toc32406"/>
      <w:bookmarkStart w:id="366" w:name="_Toc6928"/>
      <w:bookmarkStart w:id="367" w:name="_Toc28637"/>
      <w:bookmarkStart w:id="368" w:name="_Toc26107"/>
      <w:bookmarkStart w:id="369" w:name="_Toc9368"/>
      <w:bookmarkStart w:id="370" w:name="_Toc6269"/>
      <w:bookmarkStart w:id="371" w:name="_Toc10577"/>
      <w:bookmarkStart w:id="372" w:name="_Toc21590"/>
      <w:bookmarkStart w:id="373" w:name="_Toc27126"/>
      <w:bookmarkStart w:id="374" w:name="_Toc23961"/>
      <w:r>
        <w:rPr>
          <w:rFonts w:hint="eastAsia" w:ascii="楷体_GB2312" w:eastAsia="楷体_GB2312"/>
          <w:b w:val="0"/>
        </w:rPr>
        <w:t>（一）总体目标</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ind w:firstLine="640" w:firstLineChars="200"/>
        <w:rPr>
          <w:rFonts w:hint="eastAsia" w:ascii="仿宋_GB2312"/>
          <w:sz w:val="32"/>
        </w:rPr>
      </w:pPr>
      <w:r>
        <w:rPr>
          <w:rFonts w:hint="eastAsia" w:ascii="仿宋_GB2312"/>
          <w:sz w:val="32"/>
        </w:rPr>
        <w:t>到2022年，短板攻坚、保障亚运，解决突出的生态环境问题。到2025年，以西溪湿地良好的生态系统为基础，全面提升西溪湿地保护、管理、经营、研究水平，全方位做好西溪湿地原生态保护提升，进一步完善湿地保护与利用的“西溪模式”，打造世界湿地保护与利用的典范。</w:t>
      </w:r>
    </w:p>
    <w:p>
      <w:pPr>
        <w:ind w:firstLine="640" w:firstLineChars="200"/>
        <w:rPr>
          <w:rFonts w:hint="eastAsia" w:ascii="仿宋_GB2312"/>
          <w:sz w:val="32"/>
        </w:rPr>
      </w:pPr>
      <w:r>
        <w:rPr>
          <w:rFonts w:hint="eastAsia" w:ascii="仿宋_GB2312"/>
          <w:bCs/>
          <w:sz w:val="32"/>
        </w:rPr>
        <w:t>——生态环境质量持续改善。</w:t>
      </w:r>
      <w:r>
        <w:rPr>
          <w:rFonts w:hint="eastAsia" w:ascii="仿宋_GB2312"/>
          <w:sz w:val="32"/>
        </w:rPr>
        <w:t>水环境质量持续稳定向好，水生态系统功能逐步恢复；空气质量稳步改善，环境空气质量优良比例和细颗粒物（PM</w:t>
      </w:r>
      <w:r>
        <w:rPr>
          <w:rFonts w:hint="eastAsia" w:ascii="仿宋_GB2312"/>
          <w:sz w:val="32"/>
          <w:vertAlign w:val="subscript"/>
        </w:rPr>
        <w:t>2.5</w:t>
      </w:r>
      <w:r>
        <w:rPr>
          <w:rFonts w:hint="eastAsia" w:ascii="仿宋_GB2312"/>
          <w:sz w:val="32"/>
        </w:rPr>
        <w:t>）年均值浓度达到考核要求。让天更蓝、地更净、水更清、空气更清新，生态环境公众满意度持续提升。</w:t>
      </w:r>
    </w:p>
    <w:p>
      <w:pPr>
        <w:ind w:firstLine="640" w:firstLineChars="200"/>
        <w:rPr>
          <w:rFonts w:hint="eastAsia" w:ascii="仿宋_GB2312"/>
          <w:sz w:val="32"/>
        </w:rPr>
      </w:pPr>
      <w:r>
        <w:rPr>
          <w:rFonts w:hint="eastAsia" w:ascii="仿宋_GB2312"/>
          <w:bCs/>
          <w:sz w:val="32"/>
        </w:rPr>
        <w:t>——生态环境安全有力保障。</w:t>
      </w:r>
      <w:r>
        <w:rPr>
          <w:rFonts w:hint="eastAsia" w:ascii="仿宋_GB2312"/>
          <w:sz w:val="32"/>
        </w:rPr>
        <w:t>强化西溪湿地原生态保护与提升，建立健全生态监测评估体系，生物多样性得到有效保护，生态安全得到有效维护，生态环境风险防控有力，湿地生态系统自然性、完整性和稳定性不断增强。</w:t>
      </w:r>
    </w:p>
    <w:p>
      <w:pPr>
        <w:ind w:firstLine="640" w:firstLineChars="200"/>
        <w:rPr>
          <w:rFonts w:hint="eastAsia" w:ascii="仿宋_GB2312"/>
          <w:sz w:val="32"/>
        </w:rPr>
      </w:pPr>
      <w:r>
        <w:rPr>
          <w:rFonts w:hint="eastAsia" w:ascii="仿宋_GB2312"/>
          <w:bCs/>
          <w:sz w:val="32"/>
        </w:rPr>
        <w:t>——生态环境治理体系与治理能力全面提升。</w:t>
      </w:r>
      <w:r>
        <w:rPr>
          <w:rFonts w:hint="eastAsia" w:ascii="仿宋_GB2312"/>
          <w:sz w:val="32"/>
        </w:rPr>
        <w:t>生态环境监管数字化、智能化步伐加快，生态环境治理效能显著提升。建立健全湿地保护、科普宣教、科学研究体系。探索湿地保护和修复的新路径，开拓“合力保护重要生态空间，共同保护重要生态系统”的新局面，西湖西溪一体化保护提升成效明显。</w:t>
      </w:r>
    </w:p>
    <w:p>
      <w:pPr>
        <w:pStyle w:val="6"/>
        <w:tabs>
          <w:tab w:val="right" w:pos="8306"/>
        </w:tabs>
        <w:ind w:firstLine="640"/>
        <w:rPr>
          <w:rFonts w:hint="eastAsia" w:ascii="楷体_GB2312" w:eastAsia="楷体_GB2312"/>
          <w:b w:val="0"/>
        </w:rPr>
      </w:pPr>
      <w:bookmarkStart w:id="375" w:name="_Toc18940"/>
      <w:bookmarkStart w:id="376" w:name="_Toc14665"/>
      <w:bookmarkStart w:id="377" w:name="_Toc7362"/>
      <w:bookmarkStart w:id="378" w:name="_Toc31299"/>
      <w:bookmarkStart w:id="379" w:name="_Toc18122"/>
      <w:bookmarkStart w:id="380" w:name="_Toc5138"/>
      <w:bookmarkStart w:id="381" w:name="_Toc32534"/>
      <w:bookmarkStart w:id="382" w:name="_Toc17843"/>
      <w:bookmarkStart w:id="383" w:name="_Toc27771"/>
      <w:bookmarkStart w:id="384" w:name="_Toc30920"/>
      <w:bookmarkStart w:id="385" w:name="_Toc3734"/>
      <w:bookmarkStart w:id="386" w:name="_Toc25246"/>
      <w:bookmarkStart w:id="387" w:name="_Toc23205"/>
      <w:bookmarkStart w:id="388" w:name="_Toc10507"/>
      <w:bookmarkStart w:id="389" w:name="_Toc29141"/>
      <w:bookmarkStart w:id="390" w:name="_Toc12630"/>
      <w:r>
        <w:rPr>
          <w:rFonts w:hint="eastAsia" w:ascii="楷体_GB2312" w:eastAsia="楷体_GB2312"/>
          <w:b w:val="0"/>
        </w:rPr>
        <w:t>（二）具体指标</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Pr>
          <w:rFonts w:hint="eastAsia" w:ascii="楷体_GB2312" w:eastAsia="楷体_GB2312"/>
          <w:b w:val="0"/>
        </w:rPr>
        <w:tab/>
      </w:r>
    </w:p>
    <w:p>
      <w:pPr>
        <w:ind w:firstLine="640" w:firstLineChars="200"/>
        <w:rPr>
          <w:rFonts w:hint="eastAsia" w:ascii="仿宋_GB2312"/>
          <w:sz w:val="32"/>
        </w:rPr>
      </w:pPr>
      <w:r>
        <w:rPr>
          <w:rFonts w:hint="eastAsia" w:ascii="仿宋_GB2312"/>
          <w:sz w:val="32"/>
        </w:rPr>
        <w:t>“十四五”期间建立生态保护、环境质量、风险防控等三方面的协同性指标体系，共设置生态环境保护主要指标10个，其中约束性5个，预期性5个，具体内容见表2-1。</w:t>
      </w:r>
    </w:p>
    <w:p>
      <w:pPr>
        <w:jc w:val="center"/>
        <w:rPr>
          <w:b/>
          <w:bCs/>
          <w:sz w:val="24"/>
          <w:szCs w:val="21"/>
        </w:rPr>
      </w:pPr>
      <w:r>
        <w:rPr>
          <w:b/>
          <w:bCs/>
          <w:sz w:val="24"/>
          <w:szCs w:val="21"/>
        </w:rPr>
        <w:t>表</w:t>
      </w:r>
      <w:r>
        <w:rPr>
          <w:rFonts w:hint="eastAsia"/>
          <w:b/>
          <w:bCs/>
          <w:sz w:val="24"/>
          <w:szCs w:val="21"/>
        </w:rPr>
        <w:t>2</w:t>
      </w:r>
      <w:r>
        <w:rPr>
          <w:b/>
          <w:bCs/>
          <w:sz w:val="24"/>
          <w:szCs w:val="21"/>
        </w:rPr>
        <w:t>-1  西溪湿地“十四五”环境保护指标体系</w:t>
      </w:r>
    </w:p>
    <w:tbl>
      <w:tblPr>
        <w:tblStyle w:val="11"/>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78"/>
        <w:gridCol w:w="2384"/>
        <w:gridCol w:w="1387"/>
        <w:gridCol w:w="1387"/>
        <w:gridCol w:w="120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指标类别</w:t>
            </w:r>
          </w:p>
        </w:tc>
        <w:tc>
          <w:tcPr>
            <w:tcW w:w="478"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序号</w:t>
            </w:r>
          </w:p>
        </w:tc>
        <w:tc>
          <w:tcPr>
            <w:tcW w:w="2384"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指标名称</w:t>
            </w:r>
          </w:p>
        </w:tc>
        <w:tc>
          <w:tcPr>
            <w:tcW w:w="1387" w:type="dxa"/>
            <w:noWrap w:val="0"/>
            <w:vAlign w:val="center"/>
          </w:tcPr>
          <w:p>
            <w:pPr>
              <w:pStyle w:val="10"/>
              <w:spacing w:after="0"/>
              <w:ind w:left="0" w:leftChars="0" w:firstLine="0" w:firstLineChars="0"/>
              <w:jc w:val="center"/>
              <w:rPr>
                <w:rFonts w:eastAsia="仿宋_GB2312"/>
                <w:b/>
                <w:bCs/>
                <w:sz w:val="24"/>
                <w:szCs w:val="24"/>
              </w:rPr>
            </w:pPr>
            <w:r>
              <w:rPr>
                <w:rFonts w:hint="eastAsia" w:eastAsia="仿宋_GB2312"/>
                <w:b/>
                <w:bCs/>
                <w:sz w:val="24"/>
                <w:szCs w:val="24"/>
              </w:rPr>
              <w:t>2019年</w:t>
            </w:r>
          </w:p>
        </w:tc>
        <w:tc>
          <w:tcPr>
            <w:tcW w:w="1387"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20</w:t>
            </w:r>
            <w:r>
              <w:rPr>
                <w:rFonts w:hint="eastAsia" w:eastAsia="仿宋_GB2312"/>
                <w:b/>
                <w:bCs/>
                <w:sz w:val="24"/>
                <w:szCs w:val="24"/>
              </w:rPr>
              <w:t>20</w:t>
            </w:r>
            <w:r>
              <w:rPr>
                <w:rFonts w:eastAsia="仿宋_GB2312"/>
                <w:b/>
                <w:bCs/>
                <w:sz w:val="24"/>
                <w:szCs w:val="24"/>
              </w:rPr>
              <w:t>年</w:t>
            </w:r>
          </w:p>
        </w:tc>
        <w:tc>
          <w:tcPr>
            <w:tcW w:w="1209"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2025年</w:t>
            </w:r>
          </w:p>
          <w:p>
            <w:pPr>
              <w:pStyle w:val="10"/>
              <w:spacing w:after="0"/>
              <w:ind w:left="0" w:leftChars="0" w:firstLine="0" w:firstLineChars="0"/>
              <w:jc w:val="center"/>
              <w:rPr>
                <w:rFonts w:eastAsia="仿宋_GB2312"/>
                <w:b/>
                <w:bCs/>
                <w:sz w:val="24"/>
                <w:szCs w:val="24"/>
              </w:rPr>
            </w:pPr>
            <w:r>
              <w:rPr>
                <w:rFonts w:eastAsia="仿宋_GB2312"/>
                <w:b/>
                <w:bCs/>
                <w:sz w:val="24"/>
                <w:szCs w:val="24"/>
              </w:rPr>
              <w:t>目标</w:t>
            </w:r>
          </w:p>
        </w:tc>
        <w:tc>
          <w:tcPr>
            <w:tcW w:w="956"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restart"/>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生态保护</w:t>
            </w:r>
          </w:p>
        </w:tc>
        <w:tc>
          <w:tcPr>
            <w:tcW w:w="478"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1</w:t>
            </w:r>
          </w:p>
        </w:tc>
        <w:tc>
          <w:tcPr>
            <w:tcW w:w="2384"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物种多样性</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w:t>
            </w:r>
          </w:p>
        </w:tc>
        <w:tc>
          <w:tcPr>
            <w:tcW w:w="138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w:t>
            </w:r>
          </w:p>
        </w:tc>
        <w:tc>
          <w:tcPr>
            <w:tcW w:w="120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保持稳定</w:t>
            </w:r>
          </w:p>
        </w:tc>
        <w:tc>
          <w:tcPr>
            <w:tcW w:w="956"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noWrap w:val="0"/>
            <w:vAlign w:val="center"/>
          </w:tcPr>
          <w:p>
            <w:pPr>
              <w:pStyle w:val="10"/>
              <w:spacing w:after="0"/>
              <w:ind w:left="0" w:leftChars="0" w:firstLine="0" w:firstLineChars="0"/>
              <w:jc w:val="center"/>
              <w:rPr>
                <w:rFonts w:eastAsia="仿宋_GB2312"/>
                <w:sz w:val="24"/>
                <w:szCs w:val="24"/>
              </w:rPr>
            </w:pPr>
          </w:p>
        </w:tc>
        <w:tc>
          <w:tcPr>
            <w:tcW w:w="478"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2</w:t>
            </w:r>
          </w:p>
        </w:tc>
        <w:tc>
          <w:tcPr>
            <w:tcW w:w="2384"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外来入侵物种控制</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严格控制</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严格控制</w:t>
            </w:r>
          </w:p>
        </w:tc>
        <w:tc>
          <w:tcPr>
            <w:tcW w:w="120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严格控制</w:t>
            </w:r>
          </w:p>
        </w:tc>
        <w:tc>
          <w:tcPr>
            <w:tcW w:w="956"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预期</w:t>
            </w:r>
            <w:r>
              <w:rPr>
                <w:rFonts w:eastAsia="仿宋_GB2312"/>
                <w:sz w:val="24"/>
                <w:szCs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noWrap w:val="0"/>
            <w:vAlign w:val="center"/>
          </w:tcPr>
          <w:p>
            <w:pPr>
              <w:pStyle w:val="10"/>
              <w:spacing w:after="0"/>
              <w:ind w:left="0" w:leftChars="0" w:firstLine="0" w:firstLineChars="0"/>
              <w:jc w:val="center"/>
              <w:rPr>
                <w:rFonts w:eastAsia="仿宋_GB2312"/>
                <w:sz w:val="24"/>
                <w:szCs w:val="24"/>
              </w:rPr>
            </w:pPr>
          </w:p>
        </w:tc>
        <w:tc>
          <w:tcPr>
            <w:tcW w:w="478"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3</w:t>
            </w:r>
          </w:p>
        </w:tc>
        <w:tc>
          <w:tcPr>
            <w:tcW w:w="2384"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生态系统稳定性</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较稳定</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较稳定</w:t>
            </w:r>
          </w:p>
        </w:tc>
        <w:tc>
          <w:tcPr>
            <w:tcW w:w="1209"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较稳定</w:t>
            </w:r>
          </w:p>
        </w:tc>
        <w:tc>
          <w:tcPr>
            <w:tcW w:w="956"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预期</w:t>
            </w:r>
            <w:r>
              <w:rPr>
                <w:rFonts w:eastAsia="仿宋_GB2312"/>
                <w:sz w:val="24"/>
                <w:szCs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noWrap w:val="0"/>
            <w:vAlign w:val="center"/>
          </w:tcPr>
          <w:p>
            <w:pPr>
              <w:pStyle w:val="10"/>
              <w:spacing w:after="0"/>
              <w:ind w:left="0" w:leftChars="0" w:firstLine="0" w:firstLineChars="0"/>
              <w:jc w:val="center"/>
              <w:rPr>
                <w:rFonts w:eastAsia="仿宋_GB2312"/>
                <w:sz w:val="24"/>
                <w:szCs w:val="24"/>
              </w:rPr>
            </w:pPr>
          </w:p>
        </w:tc>
        <w:tc>
          <w:tcPr>
            <w:tcW w:w="478"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4</w:t>
            </w:r>
          </w:p>
        </w:tc>
        <w:tc>
          <w:tcPr>
            <w:tcW w:w="2384"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湿地保护率（%）</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w:t>
            </w:r>
          </w:p>
        </w:tc>
        <w:tc>
          <w:tcPr>
            <w:tcW w:w="1209"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完成市下达任务</w:t>
            </w:r>
          </w:p>
        </w:tc>
        <w:tc>
          <w:tcPr>
            <w:tcW w:w="956"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restart"/>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环境</w:t>
            </w:r>
            <w:r>
              <w:rPr>
                <w:rFonts w:hint="eastAsia" w:eastAsia="仿宋_GB2312"/>
                <w:sz w:val="24"/>
                <w:szCs w:val="24"/>
              </w:rPr>
              <w:t>质量</w:t>
            </w:r>
          </w:p>
        </w:tc>
        <w:tc>
          <w:tcPr>
            <w:tcW w:w="478"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5</w:t>
            </w:r>
          </w:p>
        </w:tc>
        <w:tc>
          <w:tcPr>
            <w:tcW w:w="2384"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城市</w:t>
            </w:r>
            <w:r>
              <w:rPr>
                <w:rFonts w:eastAsia="仿宋_GB2312"/>
                <w:sz w:val="24"/>
                <w:szCs w:val="24"/>
              </w:rPr>
              <w:t>细颗粒物（PM</w:t>
            </w:r>
            <w:r>
              <w:rPr>
                <w:rFonts w:eastAsia="仿宋_GB2312"/>
                <w:sz w:val="24"/>
                <w:szCs w:val="24"/>
                <w:vertAlign w:val="subscript"/>
              </w:rPr>
              <w:t>2.5</w:t>
            </w:r>
            <w:r>
              <w:rPr>
                <w:rFonts w:eastAsia="仿宋_GB2312"/>
                <w:sz w:val="24"/>
                <w:szCs w:val="24"/>
              </w:rPr>
              <w:t>）</w:t>
            </w:r>
            <w:r>
              <w:rPr>
                <w:rFonts w:hint="eastAsia" w:eastAsia="仿宋_GB2312"/>
                <w:sz w:val="24"/>
                <w:szCs w:val="24"/>
              </w:rPr>
              <w:t>平均</w:t>
            </w:r>
            <w:r>
              <w:rPr>
                <w:rFonts w:eastAsia="仿宋_GB2312"/>
                <w:sz w:val="24"/>
                <w:szCs w:val="24"/>
              </w:rPr>
              <w:t>浓度（µg/m</w:t>
            </w:r>
            <w:r>
              <w:rPr>
                <w:rFonts w:eastAsia="仿宋_GB2312"/>
                <w:sz w:val="24"/>
                <w:szCs w:val="24"/>
                <w:vertAlign w:val="superscript"/>
              </w:rPr>
              <w:t>3</w:t>
            </w:r>
            <w:r>
              <w:rPr>
                <w:rFonts w:eastAsia="仿宋_GB2312"/>
                <w:sz w:val="24"/>
                <w:szCs w:val="24"/>
              </w:rPr>
              <w:t>）</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35.7</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27.7</w:t>
            </w:r>
          </w:p>
        </w:tc>
        <w:tc>
          <w:tcPr>
            <w:tcW w:w="120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市下达指标</w:t>
            </w:r>
          </w:p>
        </w:tc>
        <w:tc>
          <w:tcPr>
            <w:tcW w:w="956"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noWrap w:val="0"/>
            <w:vAlign w:val="center"/>
          </w:tcPr>
          <w:p>
            <w:pPr>
              <w:pStyle w:val="10"/>
              <w:spacing w:after="0"/>
              <w:ind w:left="0" w:leftChars="0" w:firstLine="0" w:firstLineChars="0"/>
              <w:jc w:val="center"/>
              <w:rPr>
                <w:rFonts w:eastAsia="仿宋_GB2312"/>
                <w:sz w:val="24"/>
                <w:szCs w:val="24"/>
              </w:rPr>
            </w:pPr>
          </w:p>
        </w:tc>
        <w:tc>
          <w:tcPr>
            <w:tcW w:w="478"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6</w:t>
            </w:r>
          </w:p>
        </w:tc>
        <w:tc>
          <w:tcPr>
            <w:tcW w:w="2384"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城市</w:t>
            </w:r>
            <w:r>
              <w:rPr>
                <w:rFonts w:eastAsia="仿宋_GB2312"/>
                <w:sz w:val="24"/>
                <w:szCs w:val="24"/>
              </w:rPr>
              <w:t>空气质量优良</w:t>
            </w:r>
            <w:r>
              <w:rPr>
                <w:rFonts w:hint="eastAsia" w:eastAsia="仿宋_GB2312"/>
                <w:sz w:val="24"/>
                <w:szCs w:val="24"/>
              </w:rPr>
              <w:t>天数比率</w:t>
            </w:r>
            <w:r>
              <w:rPr>
                <w:rFonts w:eastAsia="仿宋_GB2312"/>
                <w:sz w:val="24"/>
                <w:szCs w:val="24"/>
              </w:rPr>
              <w:t>（%）</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77.0</w:t>
            </w:r>
          </w:p>
        </w:tc>
        <w:tc>
          <w:tcPr>
            <w:tcW w:w="138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89.7</w:t>
            </w:r>
          </w:p>
        </w:tc>
        <w:tc>
          <w:tcPr>
            <w:tcW w:w="120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市下达指标</w:t>
            </w:r>
          </w:p>
        </w:tc>
        <w:tc>
          <w:tcPr>
            <w:tcW w:w="956"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noWrap w:val="0"/>
            <w:vAlign w:val="center"/>
          </w:tcPr>
          <w:p>
            <w:pPr>
              <w:pStyle w:val="10"/>
              <w:spacing w:after="0"/>
              <w:ind w:left="0" w:leftChars="0" w:firstLine="0" w:firstLineChars="0"/>
              <w:jc w:val="center"/>
              <w:rPr>
                <w:rFonts w:eastAsia="仿宋_GB2312"/>
                <w:sz w:val="24"/>
                <w:szCs w:val="24"/>
              </w:rPr>
            </w:pPr>
          </w:p>
        </w:tc>
        <w:tc>
          <w:tcPr>
            <w:tcW w:w="478"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7</w:t>
            </w:r>
          </w:p>
        </w:tc>
        <w:tc>
          <w:tcPr>
            <w:tcW w:w="2384"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地表水市控</w:t>
            </w:r>
            <w:r>
              <w:rPr>
                <w:rFonts w:eastAsia="仿宋_GB2312"/>
                <w:sz w:val="24"/>
                <w:szCs w:val="24"/>
              </w:rPr>
              <w:t>断面</w:t>
            </w:r>
            <w:r>
              <w:rPr>
                <w:rFonts w:hint="eastAsia" w:eastAsia="仿宋_GB2312"/>
                <w:sz w:val="24"/>
                <w:szCs w:val="24"/>
              </w:rPr>
              <w:t>达到或优于</w:t>
            </w:r>
            <w:r>
              <w:rPr>
                <w:rFonts w:eastAsia="仿宋_GB2312"/>
                <w:sz w:val="24"/>
                <w:szCs w:val="24"/>
              </w:rPr>
              <w:t>Ⅲ</w:t>
            </w:r>
            <w:r>
              <w:rPr>
                <w:rFonts w:hint="eastAsia" w:eastAsia="仿宋_GB2312"/>
                <w:sz w:val="24"/>
                <w:szCs w:val="24"/>
              </w:rPr>
              <w:t>类水质比例</w:t>
            </w:r>
            <w:r>
              <w:rPr>
                <w:rFonts w:eastAsia="仿宋_GB2312"/>
                <w:sz w:val="24"/>
                <w:szCs w:val="24"/>
              </w:rPr>
              <w:t>（%）</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w:t>
            </w:r>
          </w:p>
        </w:tc>
        <w:tc>
          <w:tcPr>
            <w:tcW w:w="138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w:t>
            </w:r>
          </w:p>
        </w:tc>
        <w:tc>
          <w:tcPr>
            <w:tcW w:w="120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100</w:t>
            </w:r>
          </w:p>
        </w:tc>
        <w:tc>
          <w:tcPr>
            <w:tcW w:w="956"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noWrap w:val="0"/>
            <w:vAlign w:val="center"/>
          </w:tcPr>
          <w:p>
            <w:pPr>
              <w:pStyle w:val="10"/>
              <w:spacing w:after="0"/>
              <w:ind w:left="0" w:leftChars="0" w:firstLine="0" w:firstLineChars="0"/>
              <w:jc w:val="center"/>
              <w:rPr>
                <w:rFonts w:eastAsia="仿宋_GB2312"/>
                <w:sz w:val="24"/>
                <w:szCs w:val="24"/>
              </w:rPr>
            </w:pPr>
          </w:p>
        </w:tc>
        <w:tc>
          <w:tcPr>
            <w:tcW w:w="478"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8</w:t>
            </w:r>
          </w:p>
        </w:tc>
        <w:tc>
          <w:tcPr>
            <w:tcW w:w="2384"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达到生态流量（水位）底线要求的河湖数量（个）</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w:t>
            </w:r>
          </w:p>
        </w:tc>
        <w:tc>
          <w:tcPr>
            <w:tcW w:w="1209"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市下达指标</w:t>
            </w:r>
          </w:p>
        </w:tc>
        <w:tc>
          <w:tcPr>
            <w:tcW w:w="956"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风险防控</w:t>
            </w:r>
          </w:p>
        </w:tc>
        <w:tc>
          <w:tcPr>
            <w:tcW w:w="478"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9</w:t>
            </w:r>
          </w:p>
        </w:tc>
        <w:tc>
          <w:tcPr>
            <w:tcW w:w="2384"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5年期突发环境事件下降比例</w:t>
            </w:r>
            <w:r>
              <w:rPr>
                <w:rFonts w:hint="eastAsia" w:eastAsia="仿宋_GB2312"/>
                <w:sz w:val="24"/>
                <w:szCs w:val="24"/>
              </w:rPr>
              <w:t>（%）</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无突发环境事件</w:t>
            </w:r>
          </w:p>
        </w:tc>
        <w:tc>
          <w:tcPr>
            <w:tcW w:w="138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无突发环境事件</w:t>
            </w:r>
          </w:p>
        </w:tc>
        <w:tc>
          <w:tcPr>
            <w:tcW w:w="120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无突发环境事件</w:t>
            </w:r>
          </w:p>
        </w:tc>
        <w:tc>
          <w:tcPr>
            <w:tcW w:w="956"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生态文明</w:t>
            </w:r>
          </w:p>
        </w:tc>
        <w:tc>
          <w:tcPr>
            <w:tcW w:w="478"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10</w:t>
            </w:r>
          </w:p>
        </w:tc>
        <w:tc>
          <w:tcPr>
            <w:tcW w:w="2384"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生态文明建设公众满意度（</w:t>
            </w:r>
            <w:r>
              <w:rPr>
                <w:rFonts w:eastAsia="仿宋_GB2312"/>
                <w:sz w:val="24"/>
                <w:szCs w:val="24"/>
              </w:rPr>
              <w:t>%</w:t>
            </w:r>
            <w:r>
              <w:rPr>
                <w:rFonts w:hint="eastAsia" w:eastAsia="仿宋_GB2312"/>
                <w:sz w:val="24"/>
                <w:szCs w:val="24"/>
              </w:rPr>
              <w:t>）</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86.61</w:t>
            </w:r>
          </w:p>
        </w:tc>
        <w:tc>
          <w:tcPr>
            <w:tcW w:w="1387" w:type="dxa"/>
            <w:noWrap w:val="0"/>
            <w:vAlign w:val="center"/>
          </w:tcPr>
          <w:p>
            <w:pPr>
              <w:pStyle w:val="10"/>
              <w:spacing w:after="0"/>
              <w:ind w:left="0" w:leftChars="0" w:firstLine="0" w:firstLineChars="0"/>
              <w:jc w:val="center"/>
              <w:rPr>
                <w:rFonts w:hint="eastAsia" w:eastAsia="仿宋_GB2312"/>
                <w:sz w:val="24"/>
                <w:szCs w:val="24"/>
              </w:rPr>
            </w:pPr>
            <w:r>
              <w:rPr>
                <w:rFonts w:eastAsia="仿宋_GB2312"/>
                <w:sz w:val="24"/>
                <w:szCs w:val="24"/>
              </w:rPr>
              <w:t>88.28</w:t>
            </w:r>
          </w:p>
        </w:tc>
        <w:tc>
          <w:tcPr>
            <w:tcW w:w="1209"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稳中有升</w:t>
            </w:r>
          </w:p>
        </w:tc>
        <w:tc>
          <w:tcPr>
            <w:tcW w:w="956"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约束性</w:t>
            </w:r>
          </w:p>
        </w:tc>
      </w:tr>
    </w:tbl>
    <w:p>
      <w:pPr>
        <w:rPr>
          <w:rFonts w:hint="eastAsia"/>
        </w:rPr>
      </w:pPr>
      <w:r>
        <w:rPr>
          <w:sz w:val="24"/>
          <w:szCs w:val="24"/>
        </w:rPr>
        <w:t>*Ⅲ类指杭州市地表水水质评价采用《地表水环境质量标准》（GB3838-2002）中Ⅲ类水质标准。</w:t>
      </w:r>
      <w:bookmarkStart w:id="391" w:name="_Toc16393"/>
      <w:bookmarkStart w:id="392" w:name="_Toc30923"/>
      <w:bookmarkStart w:id="393" w:name="_Toc26518"/>
      <w:bookmarkStart w:id="394" w:name="_Toc13928"/>
      <w:bookmarkStart w:id="395" w:name="_Toc20103"/>
      <w:bookmarkStart w:id="396" w:name="_Toc12930"/>
      <w:bookmarkStart w:id="397" w:name="_Toc7947"/>
      <w:bookmarkStart w:id="398" w:name="_Toc4139"/>
      <w:bookmarkStart w:id="399" w:name="_Toc11512"/>
      <w:bookmarkStart w:id="400" w:name="_Toc26869"/>
      <w:bookmarkStart w:id="401" w:name="_Toc17623"/>
      <w:bookmarkStart w:id="402" w:name="_Toc11421"/>
      <w:bookmarkStart w:id="403" w:name="_Toc23234"/>
      <w:bookmarkStart w:id="404" w:name="_Toc1780"/>
      <w:bookmarkStart w:id="405" w:name="_Toc20666"/>
      <w:bookmarkStart w:id="406" w:name="_Toc17306"/>
      <w:bookmarkStart w:id="407" w:name="_Toc6042"/>
      <w:bookmarkStart w:id="408" w:name="_Toc1660"/>
      <w:bookmarkStart w:id="409" w:name="_Toc2740"/>
      <w:bookmarkStart w:id="410" w:name="_Toc19516"/>
      <w:bookmarkStart w:id="411" w:name="_Toc10984"/>
      <w:bookmarkStart w:id="412" w:name="_Toc915"/>
      <w:bookmarkStart w:id="413" w:name="_Toc31330"/>
      <w:bookmarkStart w:id="414" w:name="_Toc28253"/>
      <w:bookmarkStart w:id="415" w:name="_Toc2503"/>
    </w:p>
    <w:p>
      <w:pPr>
        <w:pStyle w:val="4"/>
      </w:pPr>
      <w:bookmarkStart w:id="416" w:name="_Toc1463"/>
      <w:bookmarkStart w:id="417" w:name="_Toc14070"/>
      <w:bookmarkStart w:id="418" w:name="_Toc22607"/>
      <w:bookmarkStart w:id="419" w:name="_Toc32461"/>
      <w:r>
        <w:rPr>
          <w:rFonts w:hint="eastAsia"/>
        </w:rPr>
        <w:t>第三章 重点领域和主要任务</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pPr>
        <w:ind w:firstLine="640" w:firstLineChars="200"/>
        <w:rPr>
          <w:rFonts w:hint="eastAsia" w:ascii="仿宋_GB2312"/>
          <w:sz w:val="32"/>
        </w:rPr>
      </w:pPr>
      <w:r>
        <w:rPr>
          <w:rFonts w:hint="eastAsia" w:ascii="仿宋_GB2312"/>
          <w:sz w:val="32"/>
        </w:rPr>
        <w:t>“十四五”期间，杭州西湖风景名胜区管委会（杭州西溪国家湿地公园管委会）将把西溪湿地原生态保护提升作为工作核心，从科学保护湿地生态、积极应对气候变化、系统改善水生态环境、高标准建设“无废湿地”、协同改善环境空气质量、努力打造品质西溪、全面提升保护能力七大方面入手，将西溪湿地打造为世界湿地保护与利用的典范。</w:t>
      </w:r>
    </w:p>
    <w:p>
      <w:pPr>
        <w:pStyle w:val="5"/>
      </w:pPr>
      <w:bookmarkStart w:id="420" w:name="_Toc25233"/>
      <w:bookmarkStart w:id="421" w:name="_Toc20941"/>
      <w:bookmarkStart w:id="422" w:name="_Toc31806"/>
      <w:bookmarkStart w:id="423" w:name="_Toc17887"/>
      <w:bookmarkStart w:id="424" w:name="_Toc22300"/>
      <w:bookmarkStart w:id="425" w:name="_Toc20505"/>
      <w:bookmarkStart w:id="426" w:name="_Toc11619"/>
      <w:bookmarkStart w:id="427" w:name="_Toc27828"/>
      <w:bookmarkStart w:id="428" w:name="_Toc7274"/>
      <w:bookmarkStart w:id="429" w:name="_Toc30301"/>
      <w:bookmarkStart w:id="430" w:name="_Toc29118"/>
      <w:bookmarkStart w:id="431" w:name="_Toc93"/>
      <w:bookmarkStart w:id="432" w:name="_Toc29780"/>
      <w:bookmarkStart w:id="433" w:name="_Toc2903"/>
      <w:bookmarkStart w:id="434" w:name="_Toc4163"/>
      <w:bookmarkStart w:id="435" w:name="_Toc1384"/>
      <w:bookmarkStart w:id="436" w:name="_Toc15031"/>
      <w:bookmarkStart w:id="437" w:name="_Toc4710"/>
      <w:bookmarkStart w:id="438" w:name="_Toc26687"/>
      <w:bookmarkStart w:id="439" w:name="_Toc28284"/>
      <w:bookmarkStart w:id="440" w:name="_Toc24230"/>
      <w:bookmarkStart w:id="441" w:name="_Toc29466"/>
      <w:bookmarkStart w:id="442" w:name="_Toc23615"/>
      <w:bookmarkStart w:id="443" w:name="_Toc12806"/>
      <w:bookmarkStart w:id="444" w:name="_Toc30626"/>
      <w:bookmarkStart w:id="445" w:name="_Toc18146"/>
      <w:bookmarkStart w:id="446" w:name="_Toc18636"/>
      <w:bookmarkStart w:id="447" w:name="_Toc4609"/>
      <w:bookmarkStart w:id="448" w:name="_Toc11915"/>
      <w:r>
        <w:rPr>
          <w:rFonts w:hint="eastAsia"/>
        </w:rPr>
        <w:t>一</w:t>
      </w:r>
      <w:r>
        <w:t>、加强生态保护，</w:t>
      </w:r>
      <w:r>
        <w:rPr>
          <w:rFonts w:hint="eastAsia"/>
        </w:rPr>
        <w:t>筑牢自然生态本底</w:t>
      </w:r>
      <w:bookmarkEnd w:id="420"/>
      <w:bookmarkEnd w:id="421"/>
      <w:bookmarkEnd w:id="422"/>
    </w:p>
    <w:p>
      <w:pPr>
        <w:ind w:firstLine="640" w:firstLineChars="200"/>
        <w:rPr>
          <w:rFonts w:hint="eastAsia" w:ascii="仿宋_GB2312"/>
          <w:sz w:val="32"/>
        </w:rPr>
      </w:pPr>
      <w:r>
        <w:rPr>
          <w:rFonts w:hint="eastAsia" w:ascii="仿宋_GB2312"/>
          <w:sz w:val="32"/>
        </w:rPr>
        <w:t>坚持“生态保护第一，可持续发展”理念，充分发挥新一轮规划对湿地保护的指导作用，构建具有西溪特色且在全国具有示范引领意义的湿地生态保护体系。</w:t>
      </w:r>
    </w:p>
    <w:p>
      <w:pPr>
        <w:pStyle w:val="6"/>
        <w:tabs>
          <w:tab w:val="left" w:pos="560"/>
        </w:tabs>
        <w:ind w:firstLine="640"/>
        <w:rPr>
          <w:rFonts w:hint="eastAsia" w:ascii="楷体_GB2312" w:eastAsia="楷体_GB2312"/>
          <w:b w:val="0"/>
        </w:rPr>
      </w:pPr>
      <w:r>
        <w:rPr>
          <w:rFonts w:hint="eastAsia" w:ascii="楷体_GB2312" w:eastAsia="楷体_GB2312"/>
          <w:b w:val="0"/>
        </w:rPr>
        <w:t>（一）严格生态环境空间管制</w:t>
      </w:r>
    </w:p>
    <w:p>
      <w:pPr>
        <w:ind w:firstLine="640" w:firstLineChars="200"/>
        <w:rPr>
          <w:rFonts w:hint="eastAsia" w:ascii="仿宋_GB2312"/>
          <w:sz w:val="32"/>
        </w:rPr>
      </w:pPr>
      <w:r>
        <w:rPr>
          <w:rFonts w:hint="eastAsia" w:ascii="仿宋_GB2312"/>
          <w:sz w:val="32"/>
        </w:rPr>
        <w:t>依据《杭州市“三线一单”生态环境分区管控方案》，严格落实生态空间管控要求。西溪国家湿地公园作为优先保护单元，需严格按照《浙江省湿地保护条例》、《国家湿地公园管理办法》、《杭州市西溪国家湿地公园保护条例》等相关的法律法规及管理规定进行管理和保护。按照西溪湿地功能分区要求尽量保持湿地生态系统的完整性，科学合理地处理生态体验等开发利用活动与生态保护之间的关系。保育区除开展保护、监测、科学研究等必需的保护管理活动外，不得进行任何与湿地生态系统保护和管理无关的其他活动。恢复重建区应开展培育和恢复湿地的相关活动，以湿地水质改善、湿地植被重建、野生动物栖息地恢复为主要目的。合理利用区应当开展以生态展示、科普教育为主的宣教活动，可开展不损害湿地生态系统功能的生态体验及管理服务等活动。</w:t>
      </w:r>
    </w:p>
    <w:p>
      <w:pPr>
        <w:pStyle w:val="6"/>
        <w:ind w:firstLine="640"/>
        <w:rPr>
          <w:rFonts w:hint="eastAsia" w:ascii="楷体_GB2312" w:eastAsia="楷体_GB2312"/>
          <w:b w:val="0"/>
        </w:rPr>
      </w:pPr>
      <w:r>
        <w:rPr>
          <w:rFonts w:hint="eastAsia" w:ascii="楷体_GB2312" w:eastAsia="楷体_GB2312"/>
          <w:b w:val="0"/>
        </w:rPr>
        <w:t>（二）加强西溪原生态保护提升</w:t>
      </w:r>
    </w:p>
    <w:p>
      <w:pPr>
        <w:ind w:firstLine="640" w:firstLineChars="200"/>
        <w:rPr>
          <w:rFonts w:hint="eastAsia" w:ascii="仿宋_GB2312"/>
          <w:sz w:val="32"/>
        </w:rPr>
      </w:pPr>
      <w:r>
        <w:rPr>
          <w:rFonts w:hint="eastAsia" w:ascii="仿宋_GB2312"/>
          <w:sz w:val="32"/>
        </w:rPr>
        <w:t>深入实施《新时代美丽杭州建设三年行动计划（2020-2022年）》（杭美建〔2020〕8号），践行“绿水青山就是金山银山”理念。全面实施西溪湿地原生态保护提升行动，认真贯彻湿地公园“全面保护、科学修复、合理利用、持续发展”的方针，践行“创新、协调、绿色、开放、共享”发展理念，以浙江“大花园”建设为契机，以建设美丽中国杭州样本、世界名城为指引，做好西溪湿地保护、管理、经营、研究“四篇文章”，全面完善提升湿地保护利用的“西溪模式”，打造湿地保护利用的全球样板，充分发挥西溪湿地的综合效益，实现人与自然的和谐共生，让西溪成为人民群众共享绿色空间的典范，打造“新时代美丽杭州”的魅力窗口。</w:t>
      </w:r>
    </w:p>
    <w:p>
      <w:pPr>
        <w:pStyle w:val="6"/>
        <w:tabs>
          <w:tab w:val="right" w:pos="8306"/>
        </w:tabs>
        <w:ind w:firstLine="640"/>
        <w:rPr>
          <w:rFonts w:hint="eastAsia" w:ascii="楷体_GB2312" w:eastAsia="楷体_GB2312"/>
          <w:b w:val="0"/>
        </w:rPr>
      </w:pPr>
      <w:r>
        <w:rPr>
          <w:rFonts w:hint="eastAsia" w:ascii="楷体_GB2312" w:eastAsia="楷体_GB2312"/>
          <w:b w:val="0"/>
        </w:rPr>
        <w:t>（三）持续保护生物多样性</w:t>
      </w:r>
      <w:r>
        <w:rPr>
          <w:rFonts w:hint="eastAsia" w:ascii="楷体_GB2312" w:eastAsia="楷体_GB2312"/>
          <w:b w:val="0"/>
        </w:rPr>
        <w:tab/>
      </w:r>
    </w:p>
    <w:p>
      <w:pPr>
        <w:ind w:firstLine="640" w:firstLineChars="200"/>
        <w:rPr>
          <w:rFonts w:hint="eastAsia" w:ascii="仿宋_GB2312"/>
          <w:sz w:val="32"/>
        </w:rPr>
      </w:pPr>
      <w:r>
        <w:rPr>
          <w:rFonts w:hint="eastAsia" w:ascii="仿宋_GB2312"/>
          <w:sz w:val="32"/>
        </w:rPr>
        <w:t>深入开展西溪湿地生物多样性研究，对生物多样性变化进行动态监测。保护野生动植物及其栖息地，丰富生物多样性。保护鸟类，进一步丰富鸟类的种类及数量，严禁捕鸟。适当补种能为鸟类提供食物的植物，以更好地吸引和保护鸟类。开展生物多样性调查评估，掌握区域物种现状，采集电子标本建立相关物种的名录和基础数据库，分析生物多样性变化趋势。提出生物多样性保护对策建议，为生物多样性保护、管理和决策提供科学依据，全面提升生物多样性保护水平和监管能力。“十四五”期间，持续开展西溪湿地生物多样性调查，对西溪湿地内兽类、鸟类、爬行类、两栖类、鱼类、无脊椎动物、昆虫、植物等生物多样性状况进行持续监测，实施生物多样性保护工程。杭州植物园（杭州西湖园林科学研究院）完成《西溪湿地植物名录》和《西溪湿地植物图鉴》编制。</w:t>
      </w:r>
    </w:p>
    <w:p>
      <w:pPr>
        <w:ind w:firstLine="640" w:firstLineChars="200"/>
        <w:rPr>
          <w:rFonts w:hint="eastAsia" w:ascii="仿宋_GB2312"/>
          <w:sz w:val="32"/>
        </w:rPr>
      </w:pPr>
      <w:r>
        <w:rPr>
          <w:rFonts w:hint="eastAsia" w:ascii="仿宋_GB2312"/>
          <w:sz w:val="32"/>
        </w:rPr>
        <w:t>优化传统植物景观配置。保护现有本土植物群落，加强湿地公园内的芦苇、梅花、柿树、竹林等传统特色植物保护，充实具有较高观赏价值的传统乡土物种，进一步优化和丰富景区植物景观，形成具有西溪特点的种植形态。充分尊重原有地形、地貌、植被，及时对裸露地表进行复绿。对湿地公园内的古树名木进行登记造册，并予以妥善保护。禁止擅自砍伐、移植、损毁湿地公园内的树木。保持、延续湿地公园内荡、滩、堤、圩、岛的自然生态环境空间格局。</w:t>
      </w:r>
    </w:p>
    <w:p>
      <w:pPr>
        <w:pStyle w:val="6"/>
        <w:tabs>
          <w:tab w:val="right" w:pos="8306"/>
        </w:tabs>
        <w:ind w:firstLine="640"/>
        <w:rPr>
          <w:rFonts w:hint="eastAsia" w:ascii="楷体_GB2312" w:eastAsia="楷体_GB2312"/>
          <w:b w:val="0"/>
        </w:rPr>
      </w:pPr>
      <w:r>
        <w:rPr>
          <w:rFonts w:hint="eastAsia" w:ascii="楷体_GB2312" w:eastAsia="楷体_GB2312"/>
          <w:b w:val="0"/>
        </w:rPr>
        <w:t>（四）系统防治外来入侵物种</w:t>
      </w:r>
      <w:r>
        <w:rPr>
          <w:rFonts w:hint="eastAsia" w:ascii="楷体_GB2312" w:eastAsia="楷体_GB2312"/>
          <w:b w:val="0"/>
        </w:rPr>
        <w:tab/>
      </w:r>
    </w:p>
    <w:p>
      <w:pPr>
        <w:pStyle w:val="10"/>
        <w:spacing w:after="0"/>
        <w:ind w:left="0" w:leftChars="0" w:firstLine="640"/>
        <w:rPr>
          <w:rFonts w:hint="eastAsia" w:ascii="仿宋_GB2312" w:eastAsia="仿宋_GB2312"/>
          <w:sz w:val="32"/>
        </w:rPr>
      </w:pPr>
      <w:r>
        <w:rPr>
          <w:rFonts w:hint="eastAsia" w:ascii="仿宋_GB2312" w:eastAsia="仿宋_GB2312"/>
          <w:sz w:val="32"/>
        </w:rPr>
        <w:t>实施西溪湿地外来物种入侵防治，建立外来物种信息系统，定期开展外来入侵物种排查，建立和及时更新最危险的入侵物种名录，防止其扩散。对可能存在外来物种入侵风险，加强源头防控。对引进的外来生物物种进行跟踪监测。规范游览秩序，禁止游客将外来生物带入湿地放生。“十四五”期间，确保外来有害物种入侵程度不恶化。</w:t>
      </w:r>
    </w:p>
    <w:p>
      <w:pPr>
        <w:pStyle w:val="5"/>
        <w:rPr>
          <w:rFonts w:hint="eastAsia"/>
        </w:rPr>
      </w:pPr>
      <w:bookmarkStart w:id="449" w:name="_Toc8384"/>
      <w:bookmarkStart w:id="450" w:name="_Toc9903"/>
      <w:bookmarkStart w:id="451" w:name="_Toc26471"/>
      <w:r>
        <w:rPr>
          <w:rFonts w:hint="eastAsia"/>
        </w:rPr>
        <w:t>二、推进碳排放达峰，积极应对气候变化</w:t>
      </w:r>
      <w:bookmarkEnd w:id="449"/>
      <w:bookmarkEnd w:id="450"/>
      <w:bookmarkEnd w:id="451"/>
    </w:p>
    <w:p>
      <w:pPr>
        <w:ind w:firstLine="640" w:firstLineChars="200"/>
        <w:rPr>
          <w:rFonts w:hint="eastAsia"/>
          <w:sz w:val="32"/>
        </w:rPr>
      </w:pPr>
      <w:r>
        <w:rPr>
          <w:rFonts w:hint="eastAsia"/>
          <w:sz w:val="32"/>
        </w:rPr>
        <w:t>坚持减缓和适应并重，推动实施二氧化碳排放达峰行动，有效控制温室气体排放，深化多领域低碳试点示范，推进应对气候变化与环境治理、生态保护修复协同增效，显著增强应对气候变化能力，全力打造低碳公园。</w:t>
      </w:r>
    </w:p>
    <w:p>
      <w:pPr>
        <w:pStyle w:val="6"/>
        <w:ind w:firstLine="640"/>
        <w:rPr>
          <w:rFonts w:hint="eastAsia" w:ascii="楷体_GB2312" w:eastAsia="楷体_GB2312"/>
          <w:b w:val="0"/>
        </w:rPr>
      </w:pPr>
      <w:r>
        <w:rPr>
          <w:rFonts w:hint="eastAsia" w:ascii="楷体_GB2312" w:eastAsia="楷体_GB2312"/>
          <w:b w:val="0"/>
        </w:rPr>
        <w:t>（一）落实二氧化碳排放达峰行动方案</w:t>
      </w:r>
    </w:p>
    <w:p>
      <w:pPr>
        <w:ind w:firstLine="640" w:firstLineChars="200"/>
        <w:rPr>
          <w:rFonts w:hint="eastAsia" w:ascii="仿宋_GB2312"/>
          <w:sz w:val="32"/>
        </w:rPr>
      </w:pPr>
      <w:r>
        <w:rPr>
          <w:rFonts w:hint="eastAsia" w:ascii="仿宋_GB2312"/>
          <w:sz w:val="32"/>
        </w:rPr>
        <w:t>围绕国家力争碳排放2030年前达到峰值的目标和努力争取2060年前实现碳中和的愿景，落实省、市二氧化碳达峰行动方案，积极发展低碳产业、低碳交通、低碳建筑，倡导低碳旅游，聚焦建筑、交通、服务业等重点领域，加强对温室气体的管控。探索开展湿地公园全域能耗调查，制定节能减排方案，力争将西溪湿地打造为碳达峰先行示范区和碳中和先导区。探索开展近零碳排放与碳中和试点示范。开展“碳标签”和“碳中和”实践，推进各类活动会议实施“碳中和”。</w:t>
      </w:r>
    </w:p>
    <w:p>
      <w:pPr>
        <w:pStyle w:val="6"/>
        <w:ind w:firstLine="640"/>
        <w:rPr>
          <w:rFonts w:hint="eastAsia" w:ascii="楷体_GB2312" w:eastAsia="楷体_GB2312"/>
          <w:b w:val="0"/>
          <w:bCs/>
        </w:rPr>
      </w:pPr>
      <w:r>
        <w:rPr>
          <w:rFonts w:hint="eastAsia" w:ascii="楷体_GB2312" w:eastAsia="楷体_GB2312"/>
          <w:b w:val="0"/>
          <w:bCs/>
        </w:rPr>
        <w:t>（二）增强气候变化适应能力</w:t>
      </w:r>
    </w:p>
    <w:p>
      <w:pPr>
        <w:ind w:firstLine="640" w:firstLineChars="200"/>
        <w:rPr>
          <w:rFonts w:hint="eastAsia"/>
          <w:sz w:val="32"/>
        </w:rPr>
      </w:pPr>
      <w:r>
        <w:rPr>
          <w:rFonts w:hint="eastAsia"/>
          <w:sz w:val="32"/>
        </w:rPr>
        <w:t>主动适应气候变化。加强气候变化影响及风险评估，强化市政、交通等基础设施气候韧性，提高湿地公园全域气候适应水平，提升生态环境保护和修复保障能力。建立健全气候防灾减灾体系，加强气候灾害的监测评估和预测预警，完善气候灾害应急预案和响应工作机制，增强对极端气候事件的应对能力。</w:t>
      </w:r>
    </w:p>
    <w:p>
      <w:pPr>
        <w:pStyle w:val="6"/>
        <w:ind w:firstLine="640"/>
        <w:rPr>
          <w:rFonts w:hint="eastAsia" w:ascii="楷体_GB2312" w:eastAsia="楷体_GB2312"/>
          <w:b w:val="0"/>
          <w:bCs/>
        </w:rPr>
      </w:pPr>
      <w:r>
        <w:rPr>
          <w:rFonts w:hint="eastAsia" w:ascii="楷体_GB2312" w:eastAsia="楷体_GB2312"/>
          <w:b w:val="0"/>
          <w:bCs/>
        </w:rPr>
        <w:t>（三）积极推进西溪湿地绿色低碳发展</w:t>
      </w:r>
    </w:p>
    <w:p>
      <w:pPr>
        <w:ind w:firstLine="640" w:firstLineChars="200"/>
        <w:rPr>
          <w:rFonts w:eastAsia="黑体"/>
          <w:sz w:val="32"/>
        </w:rPr>
      </w:pPr>
      <w:r>
        <w:rPr>
          <w:sz w:val="32"/>
        </w:rPr>
        <w:t>发挥绿色亚运效应，倡导绿色低碳</w:t>
      </w:r>
      <w:r>
        <w:rPr>
          <w:rFonts w:hint="eastAsia"/>
          <w:sz w:val="32"/>
        </w:rPr>
        <w:t>旅游</w:t>
      </w:r>
      <w:r>
        <w:rPr>
          <w:sz w:val="32"/>
        </w:rPr>
        <w:t>方式，广泛开展绿色低碳</w:t>
      </w:r>
      <w:r>
        <w:rPr>
          <w:rFonts w:hint="eastAsia"/>
          <w:sz w:val="32"/>
        </w:rPr>
        <w:t>旅游</w:t>
      </w:r>
      <w:r>
        <w:rPr>
          <w:sz w:val="32"/>
        </w:rPr>
        <w:t>行动。倡导消费者选择绿色低碳产品，逐步减少一次性塑料制品的使用。开展绿色生活创建行动，推广普及节水、节能器具，反对过度包装。倡导绿色低碳出行方式，鼓励</w:t>
      </w:r>
      <w:r>
        <w:rPr>
          <w:rFonts w:hint="eastAsia"/>
          <w:sz w:val="32"/>
        </w:rPr>
        <w:t>游客</w:t>
      </w:r>
      <w:r>
        <w:rPr>
          <w:sz w:val="32"/>
        </w:rPr>
        <w:t>步行、自行车、公共交通、拼车等低碳出行方式。加强生态环境保护宣传教育，充分发挥好新闻媒体传播作用，树立现代生态理念，营造绿色生活氛围。</w:t>
      </w:r>
    </w:p>
    <w:p>
      <w:pPr>
        <w:pStyle w:val="5"/>
      </w:pPr>
      <w:bookmarkStart w:id="452" w:name="_Toc5438"/>
      <w:bookmarkStart w:id="453" w:name="_Toc17274"/>
      <w:bookmarkStart w:id="454" w:name="_Toc3680"/>
      <w:r>
        <w:rPr>
          <w:rFonts w:hint="eastAsia"/>
        </w:rPr>
        <w:t>三</w:t>
      </w:r>
      <w:r>
        <w:t>、</w:t>
      </w:r>
      <w:r>
        <w:rPr>
          <w:rFonts w:hint="eastAsia"/>
        </w:rPr>
        <w:t>实施系统治理</w:t>
      </w:r>
      <w:r>
        <w:t>，</w:t>
      </w:r>
      <w:r>
        <w:rPr>
          <w:rFonts w:hint="eastAsia"/>
        </w:rPr>
        <w:t>稳步提升水生态</w:t>
      </w:r>
      <w:r>
        <w:t>环境</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52"/>
      <w:bookmarkEnd w:id="453"/>
      <w:bookmarkEnd w:id="454"/>
    </w:p>
    <w:p>
      <w:pPr>
        <w:pStyle w:val="6"/>
        <w:ind w:firstLine="640"/>
        <w:rPr>
          <w:rFonts w:hint="eastAsia" w:ascii="楷体_GB2312" w:eastAsia="楷体_GB2312"/>
          <w:b w:val="0"/>
        </w:rPr>
      </w:pPr>
      <w:bookmarkStart w:id="455" w:name="_Toc22268"/>
      <w:bookmarkStart w:id="456" w:name="_Toc4787"/>
      <w:bookmarkStart w:id="457" w:name="_Toc18874"/>
      <w:bookmarkStart w:id="458" w:name="_Toc13621"/>
      <w:bookmarkStart w:id="459" w:name="_Toc19989"/>
      <w:bookmarkStart w:id="460" w:name="_Toc2417"/>
      <w:bookmarkStart w:id="461" w:name="_Toc7988"/>
      <w:bookmarkStart w:id="462" w:name="_Toc2620"/>
      <w:bookmarkStart w:id="463" w:name="_Toc14156"/>
      <w:bookmarkStart w:id="464" w:name="_Toc32648"/>
      <w:bookmarkStart w:id="465" w:name="_Toc29949"/>
      <w:bookmarkStart w:id="466" w:name="_Toc22467"/>
      <w:bookmarkStart w:id="467" w:name="_Toc9928"/>
      <w:bookmarkStart w:id="468" w:name="_Toc15082"/>
      <w:bookmarkStart w:id="469" w:name="_Toc1694"/>
      <w:bookmarkStart w:id="470" w:name="_Toc22550"/>
      <w:r>
        <w:rPr>
          <w:rFonts w:hint="eastAsia" w:ascii="楷体_GB2312" w:eastAsia="楷体_GB2312"/>
          <w:b w:val="0"/>
        </w:rPr>
        <w:t>（一）深化水环境污染防治</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ind w:firstLine="640" w:firstLineChars="200"/>
        <w:rPr>
          <w:sz w:val="32"/>
        </w:rPr>
      </w:pPr>
      <w:r>
        <w:rPr>
          <w:sz w:val="32"/>
        </w:rPr>
        <w:t>习近平总书记在考察调研西溪湿地时强调：水是湿地的灵魂，自然生态之美是西溪湿地最内在、最重要的美。水生态</w:t>
      </w:r>
      <w:r>
        <w:rPr>
          <w:rFonts w:hint="eastAsia"/>
          <w:sz w:val="32"/>
        </w:rPr>
        <w:t>环境</w:t>
      </w:r>
      <w:r>
        <w:rPr>
          <w:sz w:val="32"/>
        </w:rPr>
        <w:t>保护将是湿地保护的重中之重。</w:t>
      </w:r>
    </w:p>
    <w:p>
      <w:pPr>
        <w:pStyle w:val="14"/>
        <w:adjustRightInd/>
        <w:snapToGrid/>
        <w:spacing w:beforeLines="0" w:line="240" w:lineRule="auto"/>
        <w:ind w:firstLine="640" w:firstLineChars="200"/>
        <w:outlineLvl w:val="3"/>
        <w:rPr>
          <w:rFonts w:hint="eastAsia" w:ascii="仿宋_GB2312" w:hAnsi="Times New Roman"/>
          <w:kern w:val="2"/>
          <w:sz w:val="32"/>
          <w:szCs w:val="28"/>
        </w:rPr>
      </w:pPr>
      <w:r>
        <w:rPr>
          <w:rFonts w:hint="eastAsia" w:ascii="仿宋_GB2312" w:hAnsi="Times New Roman"/>
          <w:kern w:val="2"/>
          <w:sz w:val="32"/>
          <w:szCs w:val="28"/>
        </w:rPr>
        <w:t>1、完善管网基础设施</w:t>
      </w:r>
    </w:p>
    <w:p>
      <w:pPr>
        <w:ind w:firstLine="640" w:firstLineChars="200"/>
        <w:rPr>
          <w:rFonts w:hint="eastAsia" w:ascii="仿宋_GB2312"/>
          <w:sz w:val="32"/>
          <w:szCs w:val="28"/>
        </w:rPr>
      </w:pPr>
      <w:r>
        <w:rPr>
          <w:rFonts w:hint="eastAsia" w:ascii="仿宋_GB2312"/>
          <w:sz w:val="32"/>
          <w:szCs w:val="28"/>
        </w:rPr>
        <w:t>实行雨污分流排水体制。西溪湿地旅游活动、日常管理工作等产生的污水全部通过管道进入城市排水系统进行集中处理，实现达标后排放。部分无建设条件区域，雨水采用自然排放的方式，直接汇入湿地公园体系。不断加强西溪湿地排水管网建设改造与常态化巡查维护工作，进一步完善排水系统，杜绝污水管网跑冒滴漏现象影响湿地水质。到2021年，完成西溪湿地污水管网排查和整改。</w:t>
      </w:r>
    </w:p>
    <w:p>
      <w:pPr>
        <w:ind w:firstLine="640" w:firstLineChars="200"/>
        <w:outlineLvl w:val="3"/>
        <w:rPr>
          <w:rFonts w:hint="eastAsia" w:ascii="仿宋_GB2312"/>
          <w:bCs/>
          <w:sz w:val="32"/>
        </w:rPr>
      </w:pPr>
      <w:r>
        <w:rPr>
          <w:rFonts w:hint="eastAsia" w:ascii="仿宋_GB2312"/>
          <w:bCs/>
          <w:sz w:val="32"/>
        </w:rPr>
        <w:t>2、加强船舶污染防治</w:t>
      </w:r>
    </w:p>
    <w:p>
      <w:pPr>
        <w:ind w:firstLine="640" w:firstLineChars="200"/>
        <w:rPr>
          <w:rFonts w:hint="eastAsia" w:ascii="仿宋_GB2312"/>
          <w:sz w:val="32"/>
          <w:szCs w:val="28"/>
        </w:rPr>
      </w:pPr>
      <w:r>
        <w:rPr>
          <w:rFonts w:hint="eastAsia" w:ascii="仿宋_GB2312"/>
          <w:sz w:val="32"/>
          <w:szCs w:val="28"/>
        </w:rPr>
        <w:t>除治安、抢险、工程等工作船外，新引进船舶基本采用电力等无污染的动力。加强西溪湿地内船舶空调机油等跑冒滴漏现象的监督管理。鼓励手摇船只，合理配置浅水、小型电瓶船。限制运行船只数量、体量和吃水深度，避免出现因船只运行超出西溪水域生态承载能力导致的湿地生态系统破坏。科学限制各类船只航行速度，减缓水力对堤岸的冲刷，避免造成水土流失。</w:t>
      </w:r>
    </w:p>
    <w:p>
      <w:pPr>
        <w:ind w:firstLine="640" w:firstLineChars="200"/>
        <w:outlineLvl w:val="3"/>
        <w:rPr>
          <w:rFonts w:hint="eastAsia" w:ascii="仿宋_GB2312"/>
          <w:bCs/>
          <w:sz w:val="32"/>
        </w:rPr>
      </w:pPr>
      <w:bookmarkStart w:id="471" w:name="_Toc1537"/>
      <w:bookmarkStart w:id="472" w:name="_Toc24774"/>
      <w:bookmarkStart w:id="473" w:name="_Toc15095"/>
      <w:bookmarkStart w:id="474" w:name="_Toc14320"/>
      <w:bookmarkStart w:id="475" w:name="_Toc12430"/>
      <w:bookmarkStart w:id="476" w:name="_Toc19281"/>
      <w:bookmarkStart w:id="477" w:name="_Toc21689"/>
      <w:bookmarkStart w:id="478" w:name="_Toc24051"/>
      <w:bookmarkStart w:id="479" w:name="_Toc6569"/>
      <w:bookmarkStart w:id="480" w:name="_Toc486"/>
      <w:r>
        <w:rPr>
          <w:rFonts w:hint="eastAsia" w:ascii="仿宋_GB2312"/>
          <w:bCs/>
          <w:sz w:val="32"/>
        </w:rPr>
        <w:t>3、加强化肥农药管控</w:t>
      </w:r>
    </w:p>
    <w:p>
      <w:pPr>
        <w:ind w:firstLine="640" w:firstLineChars="200"/>
        <w:rPr>
          <w:rFonts w:hint="eastAsia" w:ascii="仿宋_GB2312"/>
          <w:sz w:val="32"/>
        </w:rPr>
      </w:pPr>
      <w:r>
        <w:rPr>
          <w:rFonts w:hint="eastAsia" w:ascii="仿宋_GB2312"/>
          <w:sz w:val="32"/>
        </w:rPr>
        <w:t>倡导减少使用化肥和农药。在植物绿化和病虫害防治方面，鼓励发展绿色种植方式。倡导以生物治理为主，逐步减少对杀虫剂等农药的依赖和使用，大力推广高效、低毒和低残留的生物农药及其他可持续发展的植物绿化管理模式，进一步保护西溪湿地水质和生物栖息地环境安全。在开展西溪湿地传统特色的农耕渔事等活动时，应当采取自然生态的综合防治措施，优先使用生物防治措施，必要时使用高效、低毒的药剂，以减少环境污染。</w:t>
      </w:r>
    </w:p>
    <w:p>
      <w:pPr>
        <w:pStyle w:val="6"/>
        <w:ind w:firstLine="640"/>
        <w:rPr>
          <w:rFonts w:hint="eastAsia" w:ascii="楷体_GB2312" w:eastAsia="楷体_GB2312"/>
          <w:b w:val="0"/>
        </w:rPr>
      </w:pPr>
      <w:bookmarkStart w:id="481" w:name="_Toc25819"/>
      <w:bookmarkStart w:id="482" w:name="_Toc28662"/>
      <w:bookmarkStart w:id="483" w:name="_Toc7788"/>
      <w:bookmarkStart w:id="484" w:name="_Toc21967"/>
      <w:bookmarkStart w:id="485" w:name="_Toc31086"/>
      <w:bookmarkStart w:id="486" w:name="_Toc735"/>
      <w:r>
        <w:rPr>
          <w:rFonts w:hint="eastAsia" w:ascii="楷体_GB2312" w:eastAsia="楷体_GB2312"/>
          <w:b w:val="0"/>
        </w:rPr>
        <w:t>（二）全面加强水生态修复</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pPr>
        <w:ind w:left="560"/>
        <w:outlineLvl w:val="3"/>
        <w:rPr>
          <w:rFonts w:hint="eastAsia" w:ascii="仿宋_GB2312"/>
          <w:bCs/>
          <w:sz w:val="32"/>
        </w:rPr>
      </w:pPr>
      <w:r>
        <w:rPr>
          <w:rFonts w:hint="eastAsia" w:ascii="仿宋_GB2312"/>
          <w:bCs/>
          <w:sz w:val="32"/>
        </w:rPr>
        <w:t>1、科学开展清淤疏浚</w:t>
      </w:r>
    </w:p>
    <w:p>
      <w:pPr>
        <w:ind w:firstLine="640" w:firstLineChars="200"/>
        <w:rPr>
          <w:rFonts w:hint="eastAsia" w:ascii="仿宋_GB2312"/>
          <w:sz w:val="32"/>
        </w:rPr>
      </w:pPr>
      <w:r>
        <w:rPr>
          <w:rFonts w:hint="eastAsia" w:ascii="仿宋_GB2312"/>
          <w:sz w:val="32"/>
        </w:rPr>
        <w:t>加强西溪湿地河道淤积监测，落实清淤轮疏长效管理机制，科学合理地对河道进行生态疏浚，有效减少湿地内源污染物负荷。采用环保清淤技术，河道清淤疏浚应制定合理的施工方案，准确把握河道底部淤积情况，避免出现超挖和漏挖，不影响河道底部的原生土，降低水体二次污染概率。通过部分区域的清淤、整理和水系连通，促进水体循环流动。遵循“无害化、减量化、资源化”的原则，严格落实淤泥检测工作，合理处置和利用淤泥，提高淤泥的资源化利用水平，杜绝淤泥随意堆放、泥浆偷排漏排等现象发生，避免“二次污染”。探索开展西溪湿地封闭水塘水质改善试点工作。</w:t>
      </w:r>
    </w:p>
    <w:p>
      <w:pPr>
        <w:ind w:left="560"/>
        <w:outlineLvl w:val="3"/>
        <w:rPr>
          <w:rFonts w:hint="eastAsia" w:ascii="仿宋_GB2312"/>
          <w:bCs/>
          <w:sz w:val="32"/>
        </w:rPr>
      </w:pPr>
      <w:r>
        <w:rPr>
          <w:rFonts w:hint="eastAsia" w:ascii="仿宋_GB2312"/>
          <w:bCs/>
          <w:sz w:val="32"/>
        </w:rPr>
        <w:t>2、强化水岸生态保护</w:t>
      </w:r>
    </w:p>
    <w:p>
      <w:pPr>
        <w:pStyle w:val="10"/>
        <w:spacing w:after="0"/>
        <w:ind w:left="0" w:leftChars="0" w:firstLine="640"/>
        <w:rPr>
          <w:rFonts w:hint="eastAsia" w:ascii="仿宋_GB2312" w:eastAsia="仿宋_GB2312"/>
          <w:sz w:val="32"/>
        </w:rPr>
      </w:pPr>
      <w:r>
        <w:rPr>
          <w:rFonts w:hint="eastAsia" w:ascii="仿宋_GB2312" w:eastAsia="仿宋_GB2312"/>
          <w:bCs/>
          <w:sz w:val="32"/>
        </w:rPr>
        <w:t>强化生态堤岸建设。</w:t>
      </w:r>
      <w:r>
        <w:rPr>
          <w:rFonts w:hint="eastAsia" w:ascii="仿宋_GB2312" w:eastAsia="仿宋_GB2312"/>
          <w:sz w:val="32"/>
        </w:rPr>
        <w:t>采用木桩护岸、柳枝护岸、植被护坡等生态护岸手段，对湿地自然河岸进行生态保护。遵循“按故道治河”的原则，尽量保持原河岸自然状态，避免人为干扰对自然生境的破坏和对野生动植物的影响。在保持湿地植物自然生长的基础上，适当丰富乡土物种搭配种植，借植物根系稳定堤岸。充分考虑游客的亲水需求和景观的自然美感，努力打造“水清、岸绿、景美、安全”的生态型驳岸。</w:t>
      </w:r>
    </w:p>
    <w:p>
      <w:pPr>
        <w:pStyle w:val="10"/>
        <w:spacing w:after="0"/>
        <w:ind w:left="0" w:leftChars="0" w:firstLine="640"/>
        <w:rPr>
          <w:rFonts w:hint="eastAsia" w:ascii="仿宋_GB2312" w:eastAsia="仿宋_GB2312"/>
          <w:sz w:val="32"/>
        </w:rPr>
      </w:pPr>
      <w:r>
        <w:rPr>
          <w:rFonts w:hint="eastAsia" w:ascii="仿宋_GB2312" w:eastAsia="仿宋_GB2312"/>
          <w:bCs/>
          <w:sz w:val="32"/>
        </w:rPr>
        <w:t>实施水岸巡护管理。</w:t>
      </w:r>
      <w:r>
        <w:rPr>
          <w:rFonts w:hint="eastAsia" w:ascii="仿宋_GB2312" w:eastAsia="仿宋_GB2312"/>
          <w:sz w:val="32"/>
        </w:rPr>
        <w:t>落实湿地公园内河流沿岸定期巡护管理工作，加强河道岸线管理保护，设立警示标识避免沿河破坏水岸、植被的行为。及时发现并制止有破坏水岸和湿地行为，以最大限度减轻破坏行为的发生，减少人为活动对湿地水生态系统的干扰。</w:t>
      </w:r>
    </w:p>
    <w:p>
      <w:pPr>
        <w:ind w:firstLine="640" w:firstLineChars="200"/>
        <w:outlineLvl w:val="3"/>
        <w:rPr>
          <w:rFonts w:hint="eastAsia" w:ascii="仿宋_GB2312"/>
          <w:bCs/>
          <w:sz w:val="32"/>
        </w:rPr>
      </w:pPr>
      <w:r>
        <w:rPr>
          <w:rFonts w:hint="eastAsia" w:ascii="仿宋_GB2312"/>
          <w:bCs/>
          <w:sz w:val="32"/>
        </w:rPr>
        <w:t>3、修复保护水生物资源</w:t>
      </w:r>
    </w:p>
    <w:p>
      <w:pPr>
        <w:ind w:firstLine="640" w:firstLineChars="200"/>
        <w:rPr>
          <w:rFonts w:hint="eastAsia" w:ascii="仿宋_GB2312"/>
          <w:sz w:val="32"/>
        </w:rPr>
      </w:pPr>
      <w:r>
        <w:rPr>
          <w:rFonts w:hint="eastAsia" w:ascii="仿宋_GB2312"/>
          <w:bCs/>
          <w:sz w:val="32"/>
        </w:rPr>
        <w:t>优化水生生态系统。</w:t>
      </w:r>
      <w:r>
        <w:rPr>
          <w:rFonts w:hint="eastAsia" w:ascii="仿宋_GB2312"/>
          <w:sz w:val="32"/>
        </w:rPr>
        <w:t>系统研究和探索西溪湿地内部水生生态系统和水生态状态，以科学的方式进行适度干预。总结局部沉水植物种植经验，以点带面，科学选址，推广沉水植物种植工作。在已恢复沉水植物水域，进一步采取生态调控措施，优化水域水生植物群落和生态系统，全面恢复水生生态系统。</w:t>
      </w:r>
    </w:p>
    <w:p>
      <w:pPr>
        <w:ind w:firstLine="640" w:firstLineChars="200"/>
        <w:rPr>
          <w:rFonts w:hint="eastAsia" w:ascii="仿宋_GB2312"/>
          <w:sz w:val="32"/>
        </w:rPr>
      </w:pPr>
      <w:r>
        <w:rPr>
          <w:rFonts w:hint="eastAsia" w:ascii="仿宋_GB2312"/>
          <w:bCs/>
          <w:sz w:val="32"/>
        </w:rPr>
        <w:t>加强水生生物资源利用。</w:t>
      </w:r>
      <w:r>
        <w:rPr>
          <w:rFonts w:hint="eastAsia" w:ascii="仿宋_GB2312"/>
          <w:sz w:val="32"/>
        </w:rPr>
        <w:t>在科学保护的前提下进行合理利用，在合理利用的基础上反哺科学保护，全力实现保护与利用的最佳平衡。充分发挥西溪湿地水资源和生态环境优势，注重水生生物资源养护与水质改善、生态保护、生态旅游、科普教育、高科技应用的有机结合，着力打造西溪湿地“生态品牌”。鼓励和扶持具有西溪传统特色的农耕渔事的发展。利用湿地公园内柿基鱼塘、桑基鱼塘、竹基鱼塘等具有农耕渔事特色的植基鱼塘，实施科学生态养殖。在丰富西溪湿地旅游产品、传承民俗文化的同时，维持鱼塘生态功能，体现生态价值。</w:t>
      </w:r>
    </w:p>
    <w:p>
      <w:pPr>
        <w:pStyle w:val="6"/>
        <w:ind w:firstLine="640"/>
        <w:rPr>
          <w:rFonts w:hint="eastAsia" w:ascii="楷体_GB2312" w:eastAsia="楷体_GB2312"/>
          <w:b w:val="0"/>
        </w:rPr>
      </w:pPr>
      <w:bookmarkStart w:id="487" w:name="_Toc2793"/>
      <w:bookmarkStart w:id="488" w:name="_Toc6299"/>
      <w:bookmarkStart w:id="489" w:name="_Toc5973"/>
      <w:bookmarkStart w:id="490" w:name="_Toc11606"/>
      <w:bookmarkStart w:id="491" w:name="_Toc6497"/>
      <w:bookmarkStart w:id="492" w:name="_Toc24417"/>
      <w:bookmarkStart w:id="493" w:name="_Toc32124"/>
      <w:bookmarkStart w:id="494" w:name="_Toc12375"/>
      <w:bookmarkStart w:id="495" w:name="_Toc23363"/>
      <w:bookmarkStart w:id="496" w:name="_Toc16815"/>
      <w:bookmarkStart w:id="497" w:name="_Toc3164"/>
      <w:bookmarkStart w:id="498" w:name="_Toc28258"/>
      <w:bookmarkStart w:id="499" w:name="_Toc18798"/>
      <w:bookmarkStart w:id="500" w:name="_Toc14851"/>
      <w:bookmarkStart w:id="501" w:name="_Toc15813"/>
      <w:bookmarkStart w:id="502" w:name="_Toc21587"/>
      <w:r>
        <w:rPr>
          <w:rFonts w:hint="eastAsia" w:ascii="楷体_GB2312" w:eastAsia="楷体_GB2312"/>
          <w:b w:val="0"/>
        </w:rPr>
        <w:t>（三）加强水资源保护和利用</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pPr>
        <w:ind w:firstLine="640" w:firstLineChars="200"/>
        <w:outlineLvl w:val="3"/>
        <w:rPr>
          <w:rFonts w:hint="eastAsia" w:ascii="仿宋_GB2312"/>
          <w:bCs/>
          <w:sz w:val="32"/>
        </w:rPr>
      </w:pPr>
      <w:r>
        <w:rPr>
          <w:rFonts w:hint="eastAsia" w:ascii="仿宋_GB2312"/>
          <w:bCs/>
          <w:sz w:val="32"/>
        </w:rPr>
        <w:t>1、保障湿地生态补水</w:t>
      </w:r>
    </w:p>
    <w:p>
      <w:pPr>
        <w:ind w:firstLine="640" w:firstLineChars="200"/>
        <w:rPr>
          <w:rFonts w:hint="eastAsia" w:ascii="仿宋_GB2312"/>
          <w:sz w:val="32"/>
        </w:rPr>
      </w:pPr>
      <w:r>
        <w:rPr>
          <w:rFonts w:hint="eastAsia" w:ascii="仿宋_GB2312"/>
          <w:sz w:val="32"/>
        </w:rPr>
        <w:t>加强西溪湿地生态补水水质监测。实施钱塘江来水水质动态监测。积极组织有关部门和科研机构对湿地外来补充水问题开展专题研究论证，从源头活水上做足文章，提高生态补水质量，稳定西溪湿地的水质。根据西溪湿地的综合生态功能对水位的不同要求，确定西溪湿地各处合理的生态水位，并以此作为科学调度的重要依据，促进湿地生境恢复，湿地生物多样性稳定。不断加强湿地内部水系协调连通，保证区域水系的完整性与流动性。</w:t>
      </w:r>
    </w:p>
    <w:p>
      <w:pPr>
        <w:pStyle w:val="10"/>
        <w:spacing w:after="0"/>
        <w:ind w:left="0" w:leftChars="0" w:firstLine="640"/>
        <w:outlineLvl w:val="3"/>
        <w:rPr>
          <w:rFonts w:hint="eastAsia" w:ascii="仿宋_GB2312" w:eastAsia="仿宋_GB2312"/>
          <w:bCs/>
          <w:sz w:val="32"/>
        </w:rPr>
      </w:pPr>
      <w:r>
        <w:rPr>
          <w:rFonts w:hint="eastAsia" w:ascii="仿宋_GB2312" w:eastAsia="仿宋_GB2312"/>
          <w:bCs/>
          <w:sz w:val="32"/>
        </w:rPr>
        <w:t>2、推进湿地公园节水行动</w:t>
      </w:r>
    </w:p>
    <w:p>
      <w:pPr>
        <w:pStyle w:val="10"/>
        <w:spacing w:after="0"/>
        <w:ind w:left="0" w:leftChars="0" w:firstLine="640"/>
        <w:rPr>
          <w:rFonts w:hint="eastAsia" w:ascii="仿宋_GB2312" w:eastAsia="仿宋_GB2312"/>
          <w:sz w:val="32"/>
        </w:rPr>
      </w:pPr>
      <w:r>
        <w:rPr>
          <w:rFonts w:hint="eastAsia" w:ascii="仿宋_GB2312" w:eastAsia="仿宋_GB2312"/>
          <w:sz w:val="32"/>
        </w:rPr>
        <w:t>深入实施《杭州市节水行动实施方案》（杭政办函〔2020〕45号），结合西溪湿地新一轮总体规划，推动节水行动的落实，提高节水工作系统性，实现优水优用、循环利用。协调实施西溪湿地供水管网改造，推动西溪湿地给水管网整合。全面使用节水器具，积极创建节水型单位。新建公共建筑严格执行“节水三同时”制度和《节水型生活用水器具》标准。</w:t>
      </w:r>
    </w:p>
    <w:p>
      <w:pPr>
        <w:pStyle w:val="10"/>
        <w:spacing w:after="0"/>
        <w:ind w:left="0" w:leftChars="0" w:firstLine="640"/>
        <w:outlineLvl w:val="3"/>
        <w:rPr>
          <w:rFonts w:hint="eastAsia" w:ascii="仿宋_GB2312" w:eastAsia="仿宋_GB2312"/>
          <w:bCs/>
          <w:sz w:val="32"/>
        </w:rPr>
      </w:pPr>
      <w:bookmarkStart w:id="503" w:name="_Toc1022"/>
      <w:bookmarkStart w:id="504" w:name="_Toc8075"/>
      <w:bookmarkStart w:id="505" w:name="_Toc10800"/>
      <w:bookmarkStart w:id="506" w:name="_Toc4107"/>
      <w:bookmarkStart w:id="507" w:name="_Toc23839"/>
      <w:bookmarkStart w:id="508" w:name="_Toc4082"/>
      <w:bookmarkStart w:id="509" w:name="_Toc967"/>
      <w:bookmarkStart w:id="510" w:name="_Toc28011"/>
      <w:bookmarkStart w:id="511" w:name="_Toc13711"/>
      <w:bookmarkStart w:id="512" w:name="_Toc24009"/>
      <w:r>
        <w:rPr>
          <w:rFonts w:hint="eastAsia" w:ascii="仿宋_GB2312" w:eastAsia="仿宋_GB2312"/>
          <w:bCs/>
          <w:sz w:val="32"/>
        </w:rPr>
        <w:t>3、提升防洪排涝能力</w:t>
      </w:r>
    </w:p>
    <w:p>
      <w:pPr>
        <w:ind w:firstLine="640" w:firstLineChars="200"/>
        <w:rPr>
          <w:rFonts w:hint="eastAsia" w:ascii="仿宋_GB2312"/>
          <w:sz w:val="32"/>
        </w:rPr>
      </w:pPr>
      <w:r>
        <w:rPr>
          <w:rFonts w:hint="eastAsia" w:ascii="仿宋_GB2312"/>
          <w:sz w:val="32"/>
        </w:rPr>
        <w:t>根据《杭州市西溪湿地水环境提升方案研究》（2020年），加强西溪湿地内节制闸等水利基础工程建设与维护。制定防洪滞洪预案，加强湿地公园自身建筑物的防洪安全，在汛期把运营损失降到最低。采取“一滞、二排、三控”等有效措施，在确保西溪湿地自身安全的前提下，充分发挥调蓄作用。“十四五”期间，完成26座闸站改造提升，确保湿地公园达到20年一遇的防洪标准。</w:t>
      </w:r>
    </w:p>
    <w:p>
      <w:pPr>
        <w:pStyle w:val="5"/>
        <w:ind w:firstLine="643"/>
      </w:pPr>
      <w:bookmarkStart w:id="513" w:name="_Toc19306"/>
      <w:bookmarkStart w:id="514" w:name="_Toc1294"/>
      <w:bookmarkStart w:id="515" w:name="_Toc9202"/>
      <w:bookmarkStart w:id="516" w:name="_Toc30752"/>
      <w:bookmarkStart w:id="517" w:name="_Toc31042"/>
      <w:bookmarkStart w:id="518" w:name="_Toc16015"/>
      <w:bookmarkStart w:id="519" w:name="_Toc9338"/>
      <w:bookmarkStart w:id="520" w:name="_Toc2340"/>
      <w:bookmarkStart w:id="521" w:name="_Toc467"/>
      <w:bookmarkStart w:id="522" w:name="_Toc4114"/>
      <w:bookmarkStart w:id="523" w:name="_Toc10523"/>
      <w:bookmarkStart w:id="524" w:name="_Toc2202"/>
      <w:bookmarkStart w:id="525" w:name="_Toc22540"/>
      <w:bookmarkStart w:id="526" w:name="_Toc28694"/>
      <w:bookmarkStart w:id="527" w:name="_Toc20573"/>
      <w:bookmarkStart w:id="528" w:name="_Toc13816"/>
      <w:bookmarkStart w:id="529" w:name="_Toc10272"/>
      <w:bookmarkStart w:id="530" w:name="_Toc21399"/>
      <w:bookmarkStart w:id="531" w:name="_Toc24408"/>
      <w:r>
        <w:rPr>
          <w:rFonts w:hint="eastAsia"/>
        </w:rPr>
        <w:t>四</w:t>
      </w:r>
      <w:r>
        <w:t>、聚焦闭环管理</w:t>
      </w:r>
      <w:r>
        <w:rPr>
          <w:rFonts w:hint="eastAsia"/>
        </w:rPr>
        <w:t>，建设“无废湿地”</w:t>
      </w:r>
      <w:bookmarkEnd w:id="513"/>
      <w:bookmarkEnd w:id="514"/>
      <w:bookmarkEnd w:id="515"/>
      <w:bookmarkEnd w:id="516"/>
      <w:bookmarkEnd w:id="517"/>
      <w:bookmarkEnd w:id="518"/>
      <w:bookmarkEnd w:id="519"/>
    </w:p>
    <w:p>
      <w:pPr>
        <w:pStyle w:val="6"/>
        <w:ind w:firstLine="640"/>
        <w:rPr>
          <w:rFonts w:hint="eastAsia" w:ascii="楷体_GB2312" w:eastAsia="楷体_GB2312"/>
          <w:b w:val="0"/>
        </w:rPr>
      </w:pPr>
      <w:r>
        <w:rPr>
          <w:rFonts w:hint="eastAsia" w:ascii="楷体_GB2312" w:eastAsia="楷体_GB2312"/>
          <w:b w:val="0"/>
        </w:rPr>
        <w:t>（一）全面实施生活垃圾强制分类</w:t>
      </w:r>
    </w:p>
    <w:p>
      <w:pPr>
        <w:pStyle w:val="10"/>
        <w:spacing w:after="0"/>
        <w:ind w:left="0" w:leftChars="0" w:firstLine="640"/>
        <w:rPr>
          <w:rFonts w:hint="eastAsia" w:ascii="仿宋_GB2312" w:eastAsia="仿宋_GB2312"/>
          <w:sz w:val="32"/>
        </w:rPr>
      </w:pPr>
      <w:r>
        <w:rPr>
          <w:rFonts w:hint="eastAsia" w:ascii="仿宋_GB2312" w:eastAsia="仿宋_GB2312"/>
          <w:sz w:val="32"/>
        </w:rPr>
        <w:t>严格落实《杭州市生活垃圾管理条例》，深入开展垃圾分类收集工作，提升生活垃圾的正确投放率，实行定点定时的垃圾收集制度。加强环境卫生管理，配置符合要求的环境卫生设施和设备，建立完善环境卫生责任制。定期组织对垃圾收集管理人员进行垃圾分类回收及资源综合利用的宣教活动。深化湿地公园塑料垃圾清理整治。加强对游客、经营者的宣教和监督指导，游玩产生的垃圾需按垃圾分类要求进行投放，严禁随意丢弃；经营者应当及时清运各种经营活动所产生的垃圾，做好经营范围内的清扫和保洁工作，实施垃圾分类处理。合理规划垃圾分类收集范围内的垃圾运输车辆，进一步优化垃圾运输路线，全面使用密闭型垃圾运输车，加大垃圾直运率。</w:t>
      </w:r>
    </w:p>
    <w:p>
      <w:pPr>
        <w:pStyle w:val="6"/>
        <w:ind w:firstLine="640"/>
        <w:rPr>
          <w:rFonts w:hint="eastAsia" w:ascii="楷体_GB2312" w:eastAsia="楷体_GB2312"/>
          <w:b w:val="0"/>
        </w:rPr>
      </w:pPr>
      <w:r>
        <w:rPr>
          <w:rFonts w:hint="eastAsia" w:ascii="楷体_GB2312" w:eastAsia="楷体_GB2312"/>
          <w:b w:val="0"/>
        </w:rPr>
        <w:t>（二）加强园林绿化废弃物处置</w:t>
      </w:r>
    </w:p>
    <w:p>
      <w:pPr>
        <w:pStyle w:val="10"/>
        <w:spacing w:after="0"/>
        <w:ind w:left="0" w:leftChars="0" w:firstLine="640"/>
        <w:rPr>
          <w:rFonts w:eastAsia="仿宋_GB2312"/>
          <w:sz w:val="32"/>
        </w:rPr>
      </w:pPr>
      <w:r>
        <w:rPr>
          <w:rFonts w:eastAsia="仿宋_GB2312"/>
          <w:sz w:val="32"/>
        </w:rPr>
        <w:t>加强园林绿化废弃物规范化管理，促进园林绿化废弃物资源化利用。确保园林废弃物及时清运</w:t>
      </w:r>
      <w:r>
        <w:rPr>
          <w:rFonts w:hint="eastAsia" w:eastAsia="仿宋_GB2312"/>
          <w:sz w:val="32"/>
        </w:rPr>
        <w:t>和</w:t>
      </w:r>
      <w:r>
        <w:rPr>
          <w:rFonts w:eastAsia="仿宋_GB2312"/>
          <w:sz w:val="32"/>
        </w:rPr>
        <w:t>处置。进一步加大对场内园林废弃物的转运力度，限期清空场地，避免出现园林废弃物大面积堆积。进一步探索堆肥处理等适合湿地的园林垃圾处理方式，规范绿化废弃物资源化利用，提高绿化废弃物减量化、资源化和无害化处理技术水平。</w:t>
      </w:r>
    </w:p>
    <w:p>
      <w:pPr>
        <w:pStyle w:val="6"/>
        <w:ind w:firstLine="640"/>
        <w:rPr>
          <w:rFonts w:hint="eastAsia" w:ascii="楷体_GB2312" w:eastAsia="楷体_GB2312"/>
          <w:b w:val="0"/>
        </w:rPr>
      </w:pPr>
      <w:r>
        <w:rPr>
          <w:rFonts w:hint="eastAsia" w:ascii="楷体_GB2312" w:eastAsia="楷体_GB2312"/>
          <w:b w:val="0"/>
        </w:rPr>
        <w:t>（三）推动建筑垃圾资源化利用</w:t>
      </w:r>
    </w:p>
    <w:p>
      <w:pPr>
        <w:pStyle w:val="10"/>
        <w:spacing w:after="0"/>
        <w:ind w:left="0" w:leftChars="0" w:firstLine="640"/>
        <w:rPr>
          <w:rFonts w:eastAsia="仿宋_GB2312"/>
          <w:sz w:val="32"/>
        </w:rPr>
      </w:pPr>
      <w:r>
        <w:rPr>
          <w:rFonts w:eastAsia="仿宋_GB2312"/>
          <w:sz w:val="32"/>
        </w:rPr>
        <w:t>全面推行《杭州市建筑垃圾管理试点实施方案》，建筑垃圾实现源头减量、规范清运、安全处置和有效利用的全过程管理。完善建筑垃圾收集、清运、分拣和再利用的一体化回收利用</w:t>
      </w:r>
      <w:r>
        <w:rPr>
          <w:rFonts w:hint="eastAsia" w:eastAsia="仿宋_GB2312"/>
          <w:sz w:val="32"/>
        </w:rPr>
        <w:t>体系</w:t>
      </w:r>
      <w:r>
        <w:rPr>
          <w:rFonts w:eastAsia="仿宋_GB2312"/>
          <w:sz w:val="32"/>
        </w:rPr>
        <w:t>，结合西溪湿地规划要求，统筹解决建筑垃圾堆放场所，由第三方单位外运后进行回收利用或安全处置。</w:t>
      </w:r>
    </w:p>
    <w:p>
      <w:pPr>
        <w:pStyle w:val="6"/>
        <w:ind w:firstLine="640"/>
        <w:rPr>
          <w:rFonts w:hint="eastAsia" w:ascii="楷体_GB2312" w:eastAsia="楷体_GB2312"/>
          <w:b w:val="0"/>
        </w:rPr>
      </w:pPr>
      <w:r>
        <w:rPr>
          <w:rFonts w:hint="eastAsia" w:ascii="楷体_GB2312" w:eastAsia="楷体_GB2312"/>
          <w:b w:val="0"/>
        </w:rPr>
        <w:t>（四）加强餐饮垃圾集运与管理</w:t>
      </w:r>
    </w:p>
    <w:p>
      <w:pPr>
        <w:pStyle w:val="10"/>
        <w:spacing w:after="0"/>
        <w:ind w:left="0" w:leftChars="0" w:firstLine="640"/>
        <w:rPr>
          <w:rFonts w:eastAsia="仿宋_GB2312"/>
          <w:sz w:val="32"/>
        </w:rPr>
      </w:pPr>
      <w:r>
        <w:rPr>
          <w:rFonts w:eastAsia="仿宋_GB2312"/>
          <w:sz w:val="32"/>
        </w:rPr>
        <w:t>严格落实《杭州市餐厨废弃物管理办法》，全面实行分类投放和收集运输，加强全过程监管。推广餐厨废弃物减量化方法，将餐厨废弃物管理纳入餐饮企业等级评定和诚信管理范围。餐厨垃圾产生单位实施申报制度，餐厨垃圾收集运输经营单位实施备案登记制度。餐饮垃圾</w:t>
      </w:r>
      <w:r>
        <w:rPr>
          <w:rFonts w:hint="eastAsia" w:eastAsia="仿宋_GB2312"/>
          <w:sz w:val="32"/>
        </w:rPr>
        <w:t>需</w:t>
      </w:r>
      <w:r>
        <w:rPr>
          <w:rFonts w:eastAsia="仿宋_GB2312"/>
          <w:sz w:val="32"/>
        </w:rPr>
        <w:t>使用密闭的收集容器、运输车辆收集和运输，运输过程中不能抛洒滴漏。</w:t>
      </w:r>
    </w:p>
    <w:p>
      <w:pPr>
        <w:pStyle w:val="5"/>
        <w:rPr>
          <w:rFonts w:hint="eastAsia"/>
        </w:rPr>
      </w:pPr>
      <w:bookmarkStart w:id="532" w:name="_Toc18239"/>
      <w:bookmarkStart w:id="533" w:name="_Toc6971"/>
      <w:bookmarkStart w:id="534" w:name="_Toc11671"/>
      <w:bookmarkStart w:id="535" w:name="_Toc25726"/>
      <w:bookmarkStart w:id="536" w:name="_Toc6388"/>
      <w:bookmarkStart w:id="537" w:name="_Toc14681"/>
      <w:bookmarkStart w:id="538" w:name="_Toc8386"/>
      <w:r>
        <w:rPr>
          <w:rFonts w:hint="eastAsia"/>
        </w:rPr>
        <w:t>五</w:t>
      </w:r>
      <w:r>
        <w:t>、</w:t>
      </w:r>
      <w:r>
        <w:rPr>
          <w:rFonts w:hint="eastAsia"/>
        </w:rPr>
        <w:t>加强协同控制，持续改善环境空气质量</w:t>
      </w:r>
      <w:bookmarkEnd w:id="532"/>
      <w:bookmarkEnd w:id="533"/>
      <w:bookmarkEnd w:id="534"/>
    </w:p>
    <w:bookmarkEnd w:id="503"/>
    <w:bookmarkEnd w:id="504"/>
    <w:bookmarkEnd w:id="505"/>
    <w:bookmarkEnd w:id="506"/>
    <w:bookmarkEnd w:id="507"/>
    <w:bookmarkEnd w:id="508"/>
    <w:bookmarkEnd w:id="509"/>
    <w:bookmarkEnd w:id="510"/>
    <w:bookmarkEnd w:id="511"/>
    <w:bookmarkEnd w:id="512"/>
    <w:bookmarkEnd w:id="520"/>
    <w:bookmarkEnd w:id="521"/>
    <w:bookmarkEnd w:id="522"/>
    <w:bookmarkEnd w:id="523"/>
    <w:bookmarkEnd w:id="524"/>
    <w:bookmarkEnd w:id="525"/>
    <w:bookmarkEnd w:id="526"/>
    <w:bookmarkEnd w:id="527"/>
    <w:bookmarkEnd w:id="528"/>
    <w:bookmarkEnd w:id="529"/>
    <w:bookmarkEnd w:id="530"/>
    <w:bookmarkEnd w:id="531"/>
    <w:bookmarkEnd w:id="535"/>
    <w:bookmarkEnd w:id="536"/>
    <w:bookmarkEnd w:id="537"/>
    <w:bookmarkEnd w:id="538"/>
    <w:p>
      <w:pPr>
        <w:ind w:firstLine="640" w:firstLineChars="200"/>
        <w:rPr>
          <w:rFonts w:hint="eastAsia" w:ascii="仿宋_GB2312"/>
          <w:sz w:val="32"/>
        </w:rPr>
      </w:pPr>
      <w:r>
        <w:rPr>
          <w:rFonts w:hint="eastAsia" w:ascii="仿宋_GB2312"/>
          <w:sz w:val="32"/>
        </w:rPr>
        <w:t>深入实施“五气共治”，全面治理车船尾气、扬尘灰气和餐饮排气等污染，实现区域环境质量稳步改善。</w:t>
      </w:r>
    </w:p>
    <w:p>
      <w:pPr>
        <w:pStyle w:val="6"/>
        <w:ind w:firstLine="640"/>
        <w:rPr>
          <w:rFonts w:hint="eastAsia" w:ascii="楷体_GB2312" w:eastAsia="楷体_GB2312"/>
          <w:b w:val="0"/>
        </w:rPr>
      </w:pPr>
      <w:bookmarkStart w:id="539" w:name="_Toc3596"/>
      <w:r>
        <w:rPr>
          <w:rFonts w:hint="eastAsia" w:ascii="楷体_GB2312" w:eastAsia="楷体_GB2312"/>
          <w:b w:val="0"/>
        </w:rPr>
        <w:t>（一）深化治理“车船尾气”</w:t>
      </w:r>
    </w:p>
    <w:bookmarkEnd w:id="539"/>
    <w:p>
      <w:pPr>
        <w:ind w:firstLine="640" w:firstLineChars="200"/>
        <w:rPr>
          <w:sz w:val="32"/>
        </w:rPr>
      </w:pPr>
      <w:r>
        <w:rPr>
          <w:rFonts w:hint="eastAsia"/>
          <w:sz w:val="32"/>
        </w:rPr>
        <w:t>实施湿地公园车辆管控，</w:t>
      </w:r>
      <w:r>
        <w:rPr>
          <w:sz w:val="32"/>
        </w:rPr>
        <w:t>陆路交通以步行和环保电动车游览为主，局部路段可骑自行车，控制湿地公园车辆驶入量，少数路段可供汽车通行，以满足管理需求。游客应换乘湿地公园电瓶车等无污染交通工具，减少尾气的产生。除治安、抢险、工程等工作船外，</w:t>
      </w:r>
      <w:r>
        <w:rPr>
          <w:rFonts w:hint="eastAsia"/>
          <w:sz w:val="32"/>
        </w:rPr>
        <w:t>新引进船舶基本采用电力等无污染的动力，</w:t>
      </w:r>
      <w:r>
        <w:rPr>
          <w:sz w:val="32"/>
        </w:rPr>
        <w:t>水上游览以摇橹船和电瓶船为主。</w:t>
      </w:r>
      <w:r>
        <w:rPr>
          <w:rFonts w:hint="eastAsia"/>
          <w:sz w:val="32"/>
        </w:rPr>
        <w:t>内部道路交通规划应遵循湿地生态保护要求及相关法规。</w:t>
      </w:r>
    </w:p>
    <w:p>
      <w:pPr>
        <w:pStyle w:val="6"/>
        <w:ind w:firstLine="640"/>
        <w:rPr>
          <w:rFonts w:hint="eastAsia" w:ascii="楷体_GB2312" w:eastAsia="楷体_GB2312"/>
          <w:b w:val="0"/>
          <w:bCs/>
        </w:rPr>
      </w:pPr>
      <w:bookmarkStart w:id="540" w:name="_Toc20962"/>
      <w:r>
        <w:rPr>
          <w:rFonts w:hint="eastAsia" w:ascii="楷体_GB2312" w:eastAsia="楷体_GB2312"/>
          <w:b w:val="0"/>
          <w:bCs/>
        </w:rPr>
        <w:t>（二）全面治理“扬尘灰气”</w:t>
      </w:r>
      <w:bookmarkEnd w:id="540"/>
    </w:p>
    <w:p>
      <w:pPr>
        <w:ind w:firstLine="640" w:firstLineChars="200"/>
        <w:rPr>
          <w:rFonts w:hint="eastAsia" w:ascii="仿宋_GB2312"/>
          <w:sz w:val="32"/>
        </w:rPr>
      </w:pPr>
      <w:r>
        <w:rPr>
          <w:rFonts w:hint="eastAsia" w:ascii="仿宋_GB2312"/>
          <w:sz w:val="32"/>
        </w:rPr>
        <w:t>加强施工扬尘综合治理。严格落实杭州市建设工程文明施工和扬尘管控相关要求，构建过程全覆盖、管理全方位、责任全链条的施工扬尘治理体系。高标准严要求创建绿色工地，严格落实“七个百分之百”扬尘防控长效机制，各类施工场地严格按标准实施工地周边围挡、物料堆放覆盖、土方开挖湿法作业、路面硬化、出入车辆清洗、渣土车辆密闭运输和暂不开发土地临时绿化等措施。规范扬尘在线监测和视频监控使用及执法应用。助力打造以亚运工程为标杆的扬尘精细化管控“杭州模式”。</w:t>
      </w:r>
    </w:p>
    <w:p>
      <w:pPr>
        <w:pStyle w:val="6"/>
        <w:ind w:firstLine="640"/>
        <w:rPr>
          <w:rFonts w:hint="eastAsia" w:ascii="楷体_GB2312" w:eastAsia="楷体_GB2312"/>
          <w:b w:val="0"/>
          <w:bCs/>
        </w:rPr>
      </w:pPr>
      <w:bookmarkStart w:id="541" w:name="_Toc6346"/>
      <w:r>
        <w:rPr>
          <w:rFonts w:hint="eastAsia" w:ascii="楷体_GB2312" w:eastAsia="楷体_GB2312"/>
          <w:b w:val="0"/>
          <w:bCs/>
        </w:rPr>
        <w:t>（三）加强治理“餐饮排气”</w:t>
      </w:r>
      <w:bookmarkEnd w:id="541"/>
    </w:p>
    <w:p>
      <w:pPr>
        <w:ind w:firstLine="640" w:firstLineChars="200"/>
        <w:rPr>
          <w:sz w:val="32"/>
        </w:rPr>
      </w:pPr>
      <w:r>
        <w:rPr>
          <w:rFonts w:hint="eastAsia"/>
          <w:sz w:val="32"/>
        </w:rPr>
        <w:t>推进餐饮服务企业油烟排放规范化整治，安装高效油烟净化装置，完善油烟净化装置定期清理维护制度和长效监管制度，确保净化装置高效稳定运行。试点推动大型餐饮服务单位安装二次油烟净化装置和油烟在线监控管理系统。加强非经营性餐饮油烟治理，开展西溪湿地内事业单位等非经营性单位食堂油烟净化设施安装及运维管理。将餐饮经营单位的违法行为纳入企业征信名录，加强信用联动监管。依法加大联合执法监管力度，对餐饮单位的违法行为强化执法。</w:t>
      </w:r>
    </w:p>
    <w:p>
      <w:pPr>
        <w:pStyle w:val="6"/>
        <w:ind w:firstLine="640"/>
        <w:rPr>
          <w:rFonts w:hint="eastAsia" w:ascii="楷体_GB2312" w:eastAsia="楷体_GB2312"/>
          <w:b w:val="0"/>
        </w:rPr>
      </w:pPr>
      <w:bookmarkStart w:id="542" w:name="_Toc10009"/>
      <w:bookmarkStart w:id="543" w:name="_Toc30797"/>
      <w:bookmarkStart w:id="544" w:name="_Toc17449"/>
      <w:bookmarkStart w:id="545" w:name="_Toc16369"/>
      <w:bookmarkStart w:id="546" w:name="_Toc30795"/>
      <w:bookmarkStart w:id="547" w:name="_Toc29607"/>
      <w:bookmarkStart w:id="548" w:name="_Toc13407"/>
      <w:bookmarkStart w:id="549" w:name="_Toc15469"/>
      <w:bookmarkStart w:id="550" w:name="_Toc8195"/>
      <w:bookmarkStart w:id="551" w:name="_Toc1454"/>
      <w:bookmarkStart w:id="552" w:name="_Toc1338"/>
      <w:bookmarkStart w:id="553" w:name="_Toc16245"/>
      <w:bookmarkStart w:id="554" w:name="_Toc4453"/>
      <w:bookmarkStart w:id="555" w:name="_Toc32238"/>
      <w:bookmarkStart w:id="556" w:name="_Toc4641"/>
      <w:bookmarkStart w:id="557" w:name="_Toc2718"/>
      <w:bookmarkStart w:id="558" w:name="_Toc26585"/>
      <w:bookmarkStart w:id="559" w:name="_Toc19722"/>
      <w:bookmarkStart w:id="560" w:name="_Toc2057"/>
      <w:bookmarkStart w:id="561" w:name="_Toc22521"/>
      <w:bookmarkStart w:id="562" w:name="_Toc11601"/>
      <w:bookmarkStart w:id="563" w:name="_Toc5510"/>
      <w:r>
        <w:rPr>
          <w:rFonts w:hint="eastAsia" w:ascii="楷体_GB2312" w:eastAsia="楷体_GB2312"/>
          <w:b w:val="0"/>
        </w:rPr>
        <w:t>（四）精细治理其它污染源</w:t>
      </w:r>
    </w:p>
    <w:p>
      <w:pPr>
        <w:ind w:firstLine="640" w:firstLineChars="200"/>
        <w:rPr>
          <w:sz w:val="32"/>
        </w:rPr>
      </w:pPr>
      <w:r>
        <w:rPr>
          <w:rFonts w:hint="eastAsia"/>
          <w:sz w:val="32"/>
        </w:rPr>
        <w:t>积极控制噪声和光污染，实现区域环境质量稳步改善。</w:t>
      </w:r>
      <w:r>
        <w:rPr>
          <w:sz w:val="32"/>
        </w:rPr>
        <w:t>深入实施《杭州市环境噪声管理条例》，强化噪声排放源监督管理</w:t>
      </w:r>
      <w:r>
        <w:rPr>
          <w:rFonts w:hint="eastAsia"/>
          <w:sz w:val="32"/>
        </w:rPr>
        <w:t>，</w:t>
      </w:r>
      <w:r>
        <w:rPr>
          <w:sz w:val="32"/>
        </w:rPr>
        <w:t>加建筑工地噪声、道路交通噪声污染防治力度。在噪声敏感区的路段</w:t>
      </w:r>
      <w:r>
        <w:rPr>
          <w:rFonts w:hint="eastAsia"/>
          <w:sz w:val="32"/>
        </w:rPr>
        <w:t>采取</w:t>
      </w:r>
      <w:r>
        <w:rPr>
          <w:sz w:val="32"/>
        </w:rPr>
        <w:t>设置声屏障、绿化防护带等降噪措施，将噪</w:t>
      </w:r>
      <w:r>
        <w:rPr>
          <w:rFonts w:hint="eastAsia"/>
          <w:sz w:val="32"/>
          <w:lang w:eastAsia="zh-CN"/>
        </w:rPr>
        <w:t>声</w:t>
      </w:r>
      <w:r>
        <w:rPr>
          <w:sz w:val="32"/>
        </w:rPr>
        <w:t>污染降到最低</w:t>
      </w:r>
      <w:r>
        <w:rPr>
          <w:rFonts w:hint="eastAsia"/>
          <w:sz w:val="32"/>
        </w:rPr>
        <w:t>。</w:t>
      </w:r>
      <w:r>
        <w:rPr>
          <w:sz w:val="32"/>
        </w:rPr>
        <w:t>合理安排施工时段，从声源上控制噪音产生</w:t>
      </w:r>
      <w:r>
        <w:rPr>
          <w:rFonts w:hint="eastAsia"/>
          <w:sz w:val="32"/>
        </w:rPr>
        <w:t>，</w:t>
      </w:r>
      <w:r>
        <w:rPr>
          <w:sz w:val="32"/>
        </w:rPr>
        <w:t>防止对环境敏感目标产生噪声污染。施工过程尽量</w:t>
      </w:r>
      <w:r>
        <w:rPr>
          <w:rFonts w:hint="eastAsia"/>
          <w:sz w:val="32"/>
        </w:rPr>
        <w:t>选</w:t>
      </w:r>
      <w:r>
        <w:rPr>
          <w:sz w:val="32"/>
        </w:rPr>
        <w:t>用低噪声设备，对机械</w:t>
      </w:r>
      <w:r>
        <w:rPr>
          <w:rFonts w:hint="eastAsia"/>
          <w:sz w:val="32"/>
        </w:rPr>
        <w:t>进行</w:t>
      </w:r>
      <w:r>
        <w:rPr>
          <w:sz w:val="32"/>
        </w:rPr>
        <w:t>精心养护，保持良好的运行工况，减低其运行噪声。严格执行《社会生活环境噪声排放标准》，加强商业、餐饮娱乐噪声污染整治。倡导文明旅游、文明体验，禁止在湿地公园内大声喧哗，控制人为噪音。推广绿色照明工程，积极选用绿色照明产品</w:t>
      </w:r>
      <w:r>
        <w:rPr>
          <w:rFonts w:hint="eastAsia"/>
          <w:sz w:val="32"/>
        </w:rPr>
        <w:t>，在保证照明效果，满足功能性与美观性的同时，避免夜景照明所产生的光污染。</w:t>
      </w:r>
      <w:r>
        <w:rPr>
          <w:sz w:val="32"/>
        </w:rPr>
        <w:t>合理设置夜景照明运行时段</w:t>
      </w:r>
      <w:r>
        <w:rPr>
          <w:rFonts w:hint="eastAsia"/>
          <w:sz w:val="32"/>
        </w:rPr>
        <w:t>，避免</w:t>
      </w:r>
      <w:r>
        <w:rPr>
          <w:sz w:val="32"/>
        </w:rPr>
        <w:t>干扰动物</w:t>
      </w:r>
      <w:r>
        <w:rPr>
          <w:rFonts w:hint="eastAsia"/>
          <w:sz w:val="32"/>
        </w:rPr>
        <w:t>栖息</w:t>
      </w:r>
      <w:r>
        <w:rPr>
          <w:sz w:val="32"/>
        </w:rPr>
        <w:t>的生态环境。</w:t>
      </w:r>
    </w:p>
    <w:p>
      <w:pPr>
        <w:pStyle w:val="5"/>
      </w:pPr>
      <w:bookmarkStart w:id="564" w:name="_Toc21252"/>
      <w:bookmarkStart w:id="565" w:name="_Toc11477"/>
      <w:bookmarkStart w:id="566" w:name="_Toc21786"/>
      <w:bookmarkStart w:id="567" w:name="_Toc2132"/>
      <w:bookmarkStart w:id="568" w:name="_Toc25854"/>
      <w:bookmarkStart w:id="569" w:name="_Toc25698"/>
      <w:bookmarkStart w:id="570" w:name="_Toc10242"/>
      <w:r>
        <w:rPr>
          <w:rFonts w:hint="eastAsia"/>
        </w:rPr>
        <w:t>六</w:t>
      </w:r>
      <w:r>
        <w:t>、厚植文化底色，打造品质西溪</w:t>
      </w:r>
      <w:bookmarkEnd w:id="564"/>
      <w:bookmarkEnd w:id="565"/>
      <w:bookmarkEnd w:id="566"/>
      <w:bookmarkEnd w:id="567"/>
      <w:bookmarkEnd w:id="568"/>
      <w:bookmarkEnd w:id="569"/>
      <w:bookmarkEnd w:id="570"/>
    </w:p>
    <w:p>
      <w:pPr>
        <w:pStyle w:val="6"/>
        <w:ind w:firstLine="640"/>
        <w:rPr>
          <w:rFonts w:hint="eastAsia" w:ascii="楷体_GB2312" w:eastAsia="楷体_GB2312"/>
          <w:b w:val="0"/>
        </w:rPr>
      </w:pPr>
      <w:r>
        <w:rPr>
          <w:rFonts w:hint="eastAsia" w:ascii="楷体_GB2312" w:eastAsia="楷体_GB2312"/>
          <w:b w:val="0"/>
        </w:rPr>
        <w:t>（一）推进西湖西溪一体化保护</w:t>
      </w:r>
    </w:p>
    <w:p>
      <w:pPr>
        <w:ind w:firstLine="640" w:firstLineChars="200"/>
        <w:rPr>
          <w:rFonts w:hint="eastAsia" w:ascii="仿宋_GB2312"/>
          <w:sz w:val="32"/>
        </w:rPr>
      </w:pPr>
      <w:r>
        <w:rPr>
          <w:rFonts w:hint="eastAsia" w:ascii="仿宋_GB2312"/>
          <w:sz w:val="32"/>
        </w:rPr>
        <w:t>强化西湖西溪一体化，联动实施西湖全域综合提升和西溪湿地原生态保护提升，强化自然生态景观保护，进一步提升水生态品质，打造“世界级湿地保护修复利用样板、普惠共享的人民大公园、城市生命共同体的新蓝本”。按照“一个湿地公园、一个机构统筹、一个政策管理、一个标准保护、一个公司运营”原则，推动资源、资产整合，促进人员、机构、业务、感情融合。加快实现水路贯通。以东西园区无缝衔接整合为主要目的，以水路交通为核心特色，电瓶车交通、慢行交通为补充，统一规划、分</w:t>
      </w:r>
      <w:r>
        <w:rPr>
          <w:rFonts w:hint="eastAsia" w:ascii="仿宋_GB2312"/>
          <w:sz w:val="32"/>
          <w:lang w:eastAsia="zh-CN"/>
        </w:rPr>
        <w:t>步</w:t>
      </w:r>
      <w:r>
        <w:rPr>
          <w:rFonts w:hint="eastAsia" w:ascii="仿宋_GB2312"/>
          <w:sz w:val="32"/>
        </w:rPr>
        <w:t>实施，实现整个湿地水陆游线贯通成环。多方合力，加强外围保护联动。对于西溪湿地外围保护地带的规划、建设和管控，探索建立湿地公园联动管理机制和执法协作配合机制，实行管理、执法信息互通，共同加强湿地公园周边交通、旅游秩序管理，不断加强统筹，实施联动保护，放大管理实效。</w:t>
      </w:r>
    </w:p>
    <w:p>
      <w:pPr>
        <w:pStyle w:val="6"/>
        <w:ind w:firstLine="640"/>
        <w:rPr>
          <w:rFonts w:hint="eastAsia" w:ascii="楷体_GB2312" w:eastAsia="楷体_GB2312"/>
          <w:b w:val="0"/>
        </w:rPr>
      </w:pPr>
      <w:r>
        <w:rPr>
          <w:rFonts w:hint="eastAsia" w:ascii="楷体_GB2312" w:eastAsia="楷体_GB2312"/>
          <w:b w:val="0"/>
        </w:rPr>
        <w:t>（二）弘扬湿地文化内涵</w:t>
      </w:r>
    </w:p>
    <w:p>
      <w:pPr>
        <w:ind w:firstLine="640" w:firstLineChars="200"/>
        <w:rPr>
          <w:sz w:val="32"/>
        </w:rPr>
      </w:pPr>
      <w:r>
        <w:rPr>
          <w:rFonts w:hint="eastAsia"/>
          <w:sz w:val="32"/>
        </w:rPr>
        <w:t>充分挖掘湿地文化。加强对西溪历史文化研究，建立西溪传统民俗档案，组织西溪传统节庆活动，保护西溪传统文化。进一步挖掘西溪文化内涵，实施西溪文脉工程，讲好水浒故事，组织专业人士、社会力量开展专题研究，丰富西溪文化展示，提升西溪湿地文化氛围。组织开展西溪南宋记忆主题展，与西湖联袂推出南宋特色展陈活动，充分展示南宋文化，不断强化“宋韵”，使“浓妆淡抹总相宜”与“一曲溪流一曲烟”融为一体，让西溪湿地呈现出处处有历史、步步有文化的深厚底蕴，彰显历史与现实交汇、自然与人文交融的独特韵味，更好发挥西溪在展示中华文化、促进世界文化交流中的作用。</w:t>
      </w:r>
    </w:p>
    <w:p>
      <w:pPr>
        <w:ind w:firstLine="640" w:firstLineChars="200"/>
      </w:pPr>
      <w:r>
        <w:rPr>
          <w:sz w:val="32"/>
        </w:rPr>
        <w:t>严格保护湿地文化</w:t>
      </w:r>
      <w:r>
        <w:rPr>
          <w:rFonts w:hint="eastAsia"/>
          <w:sz w:val="32"/>
        </w:rPr>
        <w:t>。</w:t>
      </w:r>
      <w:r>
        <w:rPr>
          <w:sz w:val="32"/>
        </w:rPr>
        <w:t>依据《杭州西溪国家湿地公园保护管理条例》等相关法律法规，建立健全西溪湿地文化管理体制，全面整合西溪学研究理事会和西溪研究院等研究机构，组建专门的湿地文化管理与统筹机构或部门，全面制定西溪湿地文化发展规划</w:t>
      </w:r>
      <w:r>
        <w:rPr>
          <w:rFonts w:hint="eastAsia"/>
          <w:sz w:val="32"/>
        </w:rPr>
        <w:t>。</w:t>
      </w:r>
    </w:p>
    <w:p>
      <w:pPr>
        <w:pStyle w:val="6"/>
        <w:ind w:firstLine="640"/>
        <w:rPr>
          <w:rFonts w:hint="eastAsia" w:ascii="楷体_GB2312" w:eastAsia="楷体_GB2312"/>
          <w:b w:val="0"/>
        </w:rPr>
      </w:pPr>
      <w:r>
        <w:rPr>
          <w:rFonts w:hint="eastAsia" w:ascii="楷体_GB2312" w:eastAsia="楷体_GB2312"/>
          <w:b w:val="0"/>
        </w:rPr>
        <w:t>（三）延展文化合作交流</w:t>
      </w:r>
    </w:p>
    <w:p>
      <w:pPr>
        <w:ind w:firstLine="640" w:firstLineChars="200"/>
        <w:rPr>
          <w:rFonts w:hint="eastAsia" w:ascii="仿宋_GB2312"/>
          <w:sz w:val="32"/>
        </w:rPr>
      </w:pPr>
      <w:r>
        <w:rPr>
          <w:rFonts w:hint="eastAsia" w:ascii="仿宋_GB2312"/>
          <w:sz w:val="32"/>
        </w:rPr>
        <w:t>依托杭州城市国际化步伐，全面打开开放新通道，深入推进文化交流与合作，扩大开放发展的包容度和国际知名度。创新和完善对外文化传播和交流机制，积极引进高端国际会议和论坛等，打造具有国际影响力的会议论坛目的地。总结西溪湿地文化挖掘与保护经验，形成独特的文化挖掘与应用模式，积极推广湿地保护的“西溪模式”，为全国当地的独特湿地文化挖掘和应用出谋划策，使“文化”成为中国湿地保护事业的新助力。</w:t>
      </w:r>
    </w:p>
    <w:p>
      <w:pPr>
        <w:pStyle w:val="5"/>
      </w:pPr>
      <w:bookmarkStart w:id="571" w:name="_Toc20671"/>
      <w:bookmarkStart w:id="572" w:name="_Toc108"/>
      <w:bookmarkStart w:id="573" w:name="_Toc23299"/>
      <w:bookmarkStart w:id="574" w:name="_Toc6503"/>
      <w:bookmarkStart w:id="575" w:name="_Toc28905"/>
      <w:bookmarkStart w:id="576" w:name="_Toc17013"/>
      <w:bookmarkStart w:id="577" w:name="_Toc29498"/>
      <w:r>
        <w:rPr>
          <w:rFonts w:hint="eastAsia"/>
        </w:rPr>
        <w:t>七</w:t>
      </w:r>
      <w:r>
        <w:t>、增强能力建设，</w:t>
      </w:r>
      <w:r>
        <w:rPr>
          <w:rFonts w:hint="eastAsia"/>
        </w:rPr>
        <w:t>发挥湿地生态服务功能</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71"/>
      <w:bookmarkEnd w:id="572"/>
      <w:bookmarkEnd w:id="573"/>
      <w:bookmarkEnd w:id="574"/>
      <w:bookmarkEnd w:id="575"/>
      <w:bookmarkEnd w:id="576"/>
      <w:bookmarkEnd w:id="577"/>
    </w:p>
    <w:p>
      <w:pPr>
        <w:ind w:firstLine="640" w:firstLineChars="200"/>
        <w:rPr>
          <w:sz w:val="32"/>
        </w:rPr>
      </w:pPr>
      <w:r>
        <w:rPr>
          <w:sz w:val="32"/>
        </w:rPr>
        <w:t>加强对湿地资源调查监测、科技支撑、</w:t>
      </w:r>
      <w:r>
        <w:rPr>
          <w:rFonts w:hint="eastAsia"/>
          <w:sz w:val="32"/>
        </w:rPr>
        <w:t>智慧管理、</w:t>
      </w:r>
      <w:r>
        <w:rPr>
          <w:sz w:val="32"/>
        </w:rPr>
        <w:t>科普宣教和教育培训等能力建设。坚持以湿地保护为主线，建立湿地动态监测体系、提高湿地科研能力等措施，</w:t>
      </w:r>
      <w:r>
        <w:rPr>
          <w:rFonts w:hint="eastAsia"/>
          <w:sz w:val="32"/>
        </w:rPr>
        <w:t>提升</w:t>
      </w:r>
      <w:r>
        <w:rPr>
          <w:sz w:val="32"/>
        </w:rPr>
        <w:t>湿地</w:t>
      </w:r>
      <w:r>
        <w:rPr>
          <w:rFonts w:hint="eastAsia"/>
          <w:sz w:val="32"/>
        </w:rPr>
        <w:t>综合</w:t>
      </w:r>
      <w:r>
        <w:rPr>
          <w:sz w:val="32"/>
        </w:rPr>
        <w:t>保护能力，发挥湿地生态服务功能，为城市建设和经济发展提供良好的生态保障。</w:t>
      </w:r>
    </w:p>
    <w:p>
      <w:pPr>
        <w:pStyle w:val="6"/>
        <w:ind w:firstLine="640"/>
        <w:rPr>
          <w:rFonts w:hint="eastAsia" w:ascii="楷体_GB2312" w:eastAsia="楷体_GB2312"/>
          <w:b w:val="0"/>
        </w:rPr>
      </w:pPr>
      <w:bookmarkStart w:id="578" w:name="_Toc30307"/>
      <w:bookmarkStart w:id="579" w:name="_Toc27950"/>
      <w:bookmarkStart w:id="580" w:name="_Toc9868"/>
      <w:bookmarkStart w:id="581" w:name="_Toc17075"/>
      <w:bookmarkStart w:id="582" w:name="_Toc5633"/>
      <w:bookmarkStart w:id="583" w:name="_Toc32593"/>
      <w:bookmarkStart w:id="584" w:name="_Toc11374"/>
      <w:bookmarkStart w:id="585" w:name="_Toc26379"/>
      <w:bookmarkStart w:id="586" w:name="_Toc25114"/>
      <w:bookmarkStart w:id="587" w:name="_Toc24542"/>
      <w:bookmarkStart w:id="588" w:name="_Toc4945"/>
      <w:bookmarkStart w:id="589" w:name="_Toc11007"/>
      <w:bookmarkStart w:id="590" w:name="_Toc29701"/>
      <w:bookmarkStart w:id="591" w:name="_Toc28159"/>
      <w:bookmarkStart w:id="592" w:name="_Toc452"/>
      <w:bookmarkStart w:id="593" w:name="_Toc25376"/>
      <w:r>
        <w:rPr>
          <w:rFonts w:hint="eastAsia" w:ascii="楷体_GB2312" w:eastAsia="楷体_GB2312"/>
          <w:b w:val="0"/>
        </w:rPr>
        <w:t>（一）健全西溪湿地调查监测体系</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ind w:firstLine="640" w:firstLineChars="200"/>
        <w:rPr>
          <w:sz w:val="32"/>
        </w:rPr>
      </w:pPr>
      <w:r>
        <w:rPr>
          <w:rFonts w:hint="eastAsia"/>
          <w:sz w:val="32"/>
        </w:rPr>
        <w:t>完善</w:t>
      </w:r>
      <w:r>
        <w:rPr>
          <w:sz w:val="32"/>
        </w:rPr>
        <w:t>湿地生物多样性监测、湿地环境质量监测、外来</w:t>
      </w:r>
      <w:r>
        <w:rPr>
          <w:rFonts w:hint="eastAsia"/>
          <w:sz w:val="32"/>
        </w:rPr>
        <w:t>入侵</w:t>
      </w:r>
      <w:r>
        <w:rPr>
          <w:sz w:val="32"/>
        </w:rPr>
        <w:t>物种监测等</w:t>
      </w:r>
      <w:r>
        <w:rPr>
          <w:rFonts w:hint="eastAsia"/>
          <w:sz w:val="32"/>
        </w:rPr>
        <w:t>在内的湿地监测体系</w:t>
      </w:r>
      <w:r>
        <w:rPr>
          <w:sz w:val="32"/>
        </w:rPr>
        <w:t>，形成</w:t>
      </w:r>
      <w:r>
        <w:rPr>
          <w:rFonts w:hint="eastAsia"/>
          <w:sz w:val="32"/>
        </w:rPr>
        <w:t>要素全面、</w:t>
      </w:r>
      <w:r>
        <w:rPr>
          <w:sz w:val="32"/>
        </w:rPr>
        <w:t>合理布局、功能完善的湿地监测网络，对湿地资源动态变化进行长期监测</w:t>
      </w:r>
      <w:r>
        <w:rPr>
          <w:rFonts w:hint="eastAsia"/>
          <w:sz w:val="32"/>
        </w:rPr>
        <w:t>。</w:t>
      </w:r>
      <w:r>
        <w:rPr>
          <w:sz w:val="32"/>
        </w:rPr>
        <w:t>定期组织湿地公园的水环境、湿地生态特征、湿地植被演替、湿地保护类群的动态变化情况调查和监测，评价</w:t>
      </w:r>
      <w:r>
        <w:rPr>
          <w:rFonts w:hint="eastAsia"/>
          <w:sz w:val="32"/>
        </w:rPr>
        <w:t>湿地</w:t>
      </w:r>
      <w:r>
        <w:rPr>
          <w:sz w:val="32"/>
        </w:rPr>
        <w:t>生境适宜性变化，并有针对性地制定保护和修复措施。</w:t>
      </w:r>
      <w:r>
        <w:rPr>
          <w:rFonts w:hint="eastAsia"/>
          <w:sz w:val="32"/>
        </w:rPr>
        <w:t>提升</w:t>
      </w:r>
      <w:r>
        <w:rPr>
          <w:sz w:val="32"/>
        </w:rPr>
        <w:t>湿地监测</w:t>
      </w:r>
      <w:r>
        <w:rPr>
          <w:rFonts w:hint="eastAsia"/>
          <w:sz w:val="32"/>
        </w:rPr>
        <w:t>能力</w:t>
      </w:r>
      <w:r>
        <w:rPr>
          <w:sz w:val="32"/>
        </w:rPr>
        <w:t>，配备必要的调查监测、信息处理等仪器设备，开展人员技术培训，建立湿地资源监测信息管理系统，确保资源数据科学、准确、及时全面。</w:t>
      </w:r>
    </w:p>
    <w:p>
      <w:pPr>
        <w:widowControl/>
        <w:ind w:firstLine="640" w:firstLineChars="200"/>
        <w:rPr>
          <w:sz w:val="32"/>
        </w:rPr>
      </w:pPr>
      <w:r>
        <w:rPr>
          <w:sz w:val="32"/>
        </w:rPr>
        <w:t>规范监测信息发布和应用</w:t>
      </w:r>
      <w:r>
        <w:rPr>
          <w:rFonts w:hint="eastAsia"/>
          <w:sz w:val="32"/>
        </w:rPr>
        <w:t>。</w:t>
      </w:r>
      <w:r>
        <w:rPr>
          <w:sz w:val="32"/>
        </w:rPr>
        <w:t>建立完善的湿地监测评价信息发布机制，规范发布内容、流程、权限和渠道等，及时发布湿地监测评价结果。及时运用监测和评价结果，开展监测数据关联分析，为湿地保护决策、管理和执法提供依据。建立西溪湿地监管平台，实行湿地动态监测，对生态风险进行预警，建立监测评价与监管执法联动机制。</w:t>
      </w:r>
    </w:p>
    <w:p>
      <w:pPr>
        <w:pStyle w:val="6"/>
        <w:tabs>
          <w:tab w:val="right" w:pos="8306"/>
        </w:tabs>
        <w:ind w:firstLine="640"/>
        <w:rPr>
          <w:rFonts w:hint="eastAsia" w:ascii="楷体_GB2312" w:eastAsia="楷体_GB2312"/>
          <w:b w:val="0"/>
        </w:rPr>
      </w:pPr>
      <w:bookmarkStart w:id="594" w:name="_Toc1431"/>
      <w:bookmarkStart w:id="595" w:name="_Toc19559"/>
      <w:bookmarkStart w:id="596" w:name="_Toc15593"/>
      <w:bookmarkStart w:id="597" w:name="_Toc18059"/>
      <w:bookmarkStart w:id="598" w:name="_Toc26563"/>
      <w:bookmarkStart w:id="599" w:name="_Toc32010"/>
      <w:bookmarkStart w:id="600" w:name="_Toc7813"/>
      <w:bookmarkStart w:id="601" w:name="_Toc30013"/>
      <w:bookmarkStart w:id="602" w:name="_Toc10982"/>
      <w:bookmarkStart w:id="603" w:name="_Toc26070"/>
      <w:bookmarkStart w:id="604" w:name="_Toc13829"/>
      <w:bookmarkStart w:id="605" w:name="_Toc24773"/>
      <w:bookmarkStart w:id="606" w:name="_Toc10917"/>
      <w:bookmarkStart w:id="607" w:name="_Toc11974"/>
      <w:bookmarkStart w:id="608" w:name="_Toc26724"/>
      <w:bookmarkStart w:id="609" w:name="_Toc18205"/>
      <w:r>
        <w:rPr>
          <w:rFonts w:hint="eastAsia" w:ascii="楷体_GB2312" w:eastAsia="楷体_GB2312"/>
          <w:b w:val="0"/>
        </w:rPr>
        <w:t>（二）提升环境风险防控能力</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Pr>
          <w:rFonts w:hint="eastAsia" w:ascii="楷体_GB2312" w:eastAsia="楷体_GB2312"/>
          <w:b w:val="0"/>
        </w:rPr>
        <w:tab/>
      </w:r>
    </w:p>
    <w:p>
      <w:pPr>
        <w:ind w:firstLine="640" w:firstLineChars="200"/>
        <w:rPr>
          <w:sz w:val="32"/>
        </w:rPr>
      </w:pPr>
      <w:r>
        <w:rPr>
          <w:rFonts w:hint="eastAsia"/>
          <w:sz w:val="32"/>
        </w:rPr>
        <w:t>加强环境风险监管体系建设。从布局和结构入手，加强突发环境事件预防和预警体系建设，改善环境安全总体态势。增强气候变化适应能力。建立健全气候防灾减灾体系，加强气候灾害的监测评估和预测预警，完善气候灾害应急预案和响应工作机制，增强对极端气候事件的应对能力。</w:t>
      </w:r>
    </w:p>
    <w:p>
      <w:pPr>
        <w:ind w:firstLine="640" w:firstLineChars="200"/>
        <w:rPr>
          <w:sz w:val="32"/>
        </w:rPr>
      </w:pPr>
      <w:r>
        <w:rPr>
          <w:sz w:val="32"/>
        </w:rPr>
        <w:t>加强环境应急体系建设。制定</w:t>
      </w:r>
      <w:r>
        <w:rPr>
          <w:rFonts w:hint="eastAsia"/>
          <w:sz w:val="32"/>
        </w:rPr>
        <w:t>相关</w:t>
      </w:r>
      <w:r>
        <w:rPr>
          <w:sz w:val="32"/>
        </w:rPr>
        <w:t>应急预案，在发生危害湿地资源、生态环境和人文历史风貌的事件时，应当根据应急预案及时采取措施。加快应急物资储备体系建设，全面推进环境应急机构标准化建设，建设突发环境事件现场处置信息化系统。推进环境应急救援队伍专业化，定期开展示范性突发环境事件应急演练，强化应急专家队伍建设、充分发挥专家技术支撑作用。</w:t>
      </w:r>
    </w:p>
    <w:p>
      <w:pPr>
        <w:pStyle w:val="6"/>
        <w:ind w:firstLine="640"/>
        <w:rPr>
          <w:rFonts w:hint="eastAsia" w:ascii="楷体_GB2312" w:eastAsia="楷体_GB2312"/>
          <w:b w:val="0"/>
        </w:rPr>
      </w:pPr>
      <w:bookmarkStart w:id="610" w:name="_Toc5843"/>
      <w:bookmarkStart w:id="611" w:name="_Toc11826"/>
      <w:bookmarkStart w:id="612" w:name="_Toc6281"/>
      <w:bookmarkStart w:id="613" w:name="_Toc31823"/>
      <w:bookmarkStart w:id="614" w:name="_Toc26830"/>
      <w:bookmarkStart w:id="615" w:name="_Toc10715"/>
      <w:bookmarkStart w:id="616" w:name="_Toc17082"/>
      <w:r>
        <w:rPr>
          <w:rFonts w:hint="eastAsia" w:ascii="楷体_GB2312" w:eastAsia="楷体_GB2312"/>
          <w:b w:val="0"/>
        </w:rPr>
        <w:t>（三）提高科研成果转化能力</w:t>
      </w:r>
      <w:bookmarkEnd w:id="610"/>
      <w:bookmarkEnd w:id="611"/>
      <w:bookmarkEnd w:id="612"/>
      <w:bookmarkEnd w:id="613"/>
      <w:bookmarkEnd w:id="614"/>
      <w:bookmarkEnd w:id="615"/>
      <w:bookmarkEnd w:id="616"/>
    </w:p>
    <w:p>
      <w:pPr>
        <w:pStyle w:val="10"/>
        <w:spacing w:after="0"/>
        <w:ind w:left="0" w:leftChars="0" w:firstLine="640"/>
        <w:rPr>
          <w:rFonts w:eastAsia="仿宋_GB2312"/>
          <w:sz w:val="32"/>
        </w:rPr>
      </w:pPr>
      <w:r>
        <w:rPr>
          <w:rFonts w:eastAsia="仿宋_GB2312"/>
          <w:sz w:val="32"/>
        </w:rPr>
        <w:t>积极组织开展湿地资源保护和利用的研究，建立和完善湿地保护及利用技术推广体系，推动湿地保护和利用工作的开展。结合西溪湿地生态管理现状，整合现有生态监测成果，积极与在杭科研院所合作，</w:t>
      </w:r>
      <w:r>
        <w:rPr>
          <w:rFonts w:hint="eastAsia" w:eastAsia="仿宋_GB2312"/>
          <w:sz w:val="32"/>
        </w:rPr>
        <w:t>持续</w:t>
      </w:r>
      <w:r>
        <w:rPr>
          <w:rFonts w:eastAsia="仿宋_GB2312"/>
          <w:sz w:val="32"/>
        </w:rPr>
        <w:t>开展西溪湿地生态环境</w:t>
      </w:r>
      <w:r>
        <w:rPr>
          <w:rFonts w:hint="eastAsia" w:eastAsia="仿宋_GB2312"/>
          <w:sz w:val="32"/>
        </w:rPr>
        <w:t>保护</w:t>
      </w:r>
      <w:r>
        <w:rPr>
          <w:rFonts w:eastAsia="仿宋_GB2312"/>
          <w:sz w:val="32"/>
        </w:rPr>
        <w:t>相关的课题研究，并形成相关研究报告。加强湿地科学研究基础设施建设，升级科研设备，完善科学实验条件</w:t>
      </w:r>
      <w:r>
        <w:rPr>
          <w:rFonts w:hint="eastAsia" w:eastAsia="仿宋_GB2312"/>
          <w:sz w:val="32"/>
        </w:rPr>
        <w:t>。</w:t>
      </w:r>
      <w:r>
        <w:rPr>
          <w:rFonts w:eastAsia="仿宋_GB2312"/>
          <w:sz w:val="32"/>
        </w:rPr>
        <w:t>加强科研队伍建设，建立健全科研管理体制，规范各项管理制度</w:t>
      </w:r>
      <w:r>
        <w:rPr>
          <w:rFonts w:hint="eastAsia" w:eastAsia="仿宋_GB2312"/>
          <w:sz w:val="32"/>
        </w:rPr>
        <w:t>。</w:t>
      </w:r>
      <w:r>
        <w:rPr>
          <w:rFonts w:eastAsia="仿宋_GB2312"/>
          <w:sz w:val="32"/>
        </w:rPr>
        <w:t>科学设置科研项目，吸引国内外相关单位开展湿地科学基础性与应用性研究。发挥综合优势，全面加强湿地科学研究，着眼湿地科学研究前沿，搭建国际湿地学术交流中心平台，打造国内一流、具有国际影响力的湿地科学和湿地文化综合研究高地，将已有科研成果转化为现实生产力，满足湿地保护管理的实际需要。</w:t>
      </w:r>
    </w:p>
    <w:p>
      <w:pPr>
        <w:pStyle w:val="6"/>
        <w:ind w:firstLine="640"/>
        <w:rPr>
          <w:rFonts w:hint="eastAsia" w:ascii="楷体_GB2312" w:eastAsia="楷体_GB2312"/>
          <w:b w:val="0"/>
        </w:rPr>
      </w:pPr>
      <w:bookmarkStart w:id="617" w:name="_Toc25457"/>
      <w:bookmarkStart w:id="618" w:name="_Toc14276"/>
      <w:bookmarkStart w:id="619" w:name="_Toc26461"/>
      <w:bookmarkStart w:id="620" w:name="_Toc12158"/>
      <w:bookmarkStart w:id="621" w:name="_Toc8303"/>
      <w:r>
        <w:rPr>
          <w:rFonts w:hint="eastAsia" w:ascii="楷体_GB2312" w:eastAsia="楷体_GB2312"/>
          <w:b w:val="0"/>
        </w:rPr>
        <w:t>（四）提升智慧化管理能力</w:t>
      </w:r>
      <w:bookmarkEnd w:id="617"/>
      <w:bookmarkEnd w:id="618"/>
      <w:bookmarkEnd w:id="619"/>
      <w:bookmarkEnd w:id="620"/>
      <w:bookmarkEnd w:id="621"/>
    </w:p>
    <w:p>
      <w:pPr>
        <w:ind w:firstLine="640" w:firstLineChars="200"/>
        <w:rPr>
          <w:rFonts w:hint="eastAsia" w:ascii="仿宋_GB2312"/>
          <w:sz w:val="32"/>
        </w:rPr>
      </w:pPr>
      <w:r>
        <w:rPr>
          <w:rFonts w:hint="eastAsia" w:ascii="仿宋_GB2312"/>
          <w:sz w:val="32"/>
        </w:rPr>
        <w:t>深化智慧项目开发建设，充分发挥管控平台功能，以技防带动人防，实现巡防无死角、监控全天候，完善智慧化配备，在全国打造“未来景区”样板和“未来旅游目的地”。</w:t>
      </w:r>
      <w:r>
        <w:rPr>
          <w:rFonts w:hint="eastAsia" w:ascii="仿宋_GB2312" w:hAnsi="仿宋_GB2312" w:cs="仿宋_GB2312"/>
          <w:sz w:val="32"/>
        </w:rPr>
        <w:t>更新完善信息化设备，结合信息化项目特点，在允许范围内结合新需求和新技术，不断尝试</w:t>
      </w:r>
      <w:r>
        <w:rPr>
          <w:rFonts w:hint="eastAsia" w:ascii="仿宋_GB2312"/>
          <w:sz w:val="32"/>
        </w:rPr>
        <w:t>发掘出各系统的更深层的使用可能性。应用各种物联感知技术，对湿地公园内的水、土、气、生等各类生态数据进行实时监测，摸清鸟类分布情况以及水文、气象、植被等其他环境因素情况，为精细化管理手段的实施提供依据与结果反馈。“十四五”期间，做好西溪湿地内部新增市控断面深潭口、千金漾、朝天暮漾等点位的水质保障工作。</w:t>
      </w:r>
    </w:p>
    <w:p>
      <w:pPr>
        <w:pStyle w:val="6"/>
        <w:ind w:firstLine="640"/>
        <w:rPr>
          <w:rFonts w:hint="eastAsia" w:ascii="楷体_GB2312" w:eastAsia="楷体_GB2312"/>
          <w:b w:val="0"/>
        </w:rPr>
      </w:pPr>
      <w:bookmarkStart w:id="622" w:name="_Toc26928"/>
      <w:bookmarkStart w:id="623" w:name="_Toc18460"/>
      <w:bookmarkStart w:id="624" w:name="_Toc23283"/>
      <w:bookmarkStart w:id="625" w:name="_Toc31174"/>
      <w:bookmarkStart w:id="626" w:name="_Toc1695"/>
      <w:bookmarkStart w:id="627" w:name="_Toc29388"/>
      <w:bookmarkStart w:id="628" w:name="_Toc27289"/>
      <w:bookmarkStart w:id="629" w:name="_Toc2801"/>
      <w:bookmarkStart w:id="630" w:name="_Toc29287"/>
      <w:bookmarkStart w:id="631" w:name="_Toc23989"/>
      <w:bookmarkStart w:id="632" w:name="_Toc15910"/>
      <w:bookmarkStart w:id="633" w:name="_Toc26398"/>
      <w:bookmarkStart w:id="634" w:name="_Toc5054"/>
      <w:bookmarkStart w:id="635" w:name="_Toc29748"/>
      <w:bookmarkStart w:id="636" w:name="_Toc8825"/>
      <w:bookmarkStart w:id="637" w:name="_Toc22333"/>
      <w:bookmarkStart w:id="638" w:name="_Toc4969"/>
      <w:bookmarkStart w:id="639" w:name="_Toc408"/>
      <w:bookmarkStart w:id="640" w:name="_Toc5452"/>
      <w:bookmarkStart w:id="641" w:name="_Toc4909"/>
      <w:bookmarkStart w:id="642" w:name="_Toc7369"/>
      <w:bookmarkStart w:id="643" w:name="_Toc23877"/>
      <w:bookmarkStart w:id="644" w:name="_Toc27248"/>
      <w:r>
        <w:rPr>
          <w:rFonts w:hint="eastAsia" w:ascii="楷体_GB2312" w:eastAsia="楷体_GB2312"/>
          <w:b w:val="0"/>
        </w:rPr>
        <w:t>（五）全面开展科普宣教活动</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10"/>
        <w:spacing w:after="0"/>
        <w:ind w:left="0" w:leftChars="0" w:firstLine="640"/>
        <w:outlineLvl w:val="3"/>
        <w:rPr>
          <w:rFonts w:hint="eastAsia" w:ascii="仿宋_GB2312" w:eastAsia="仿宋_GB2312"/>
          <w:bCs/>
          <w:sz w:val="32"/>
        </w:rPr>
      </w:pPr>
      <w:r>
        <w:rPr>
          <w:rFonts w:hint="eastAsia" w:ascii="仿宋_GB2312" w:eastAsia="仿宋_GB2312"/>
          <w:bCs/>
          <w:sz w:val="32"/>
        </w:rPr>
        <w:t>1、优化科普宣教顶层设计</w:t>
      </w:r>
    </w:p>
    <w:p>
      <w:pPr>
        <w:ind w:firstLine="640" w:firstLineChars="200"/>
        <w:rPr>
          <w:rFonts w:hint="eastAsia" w:ascii="仿宋_GB2312"/>
          <w:sz w:val="32"/>
        </w:rPr>
      </w:pPr>
      <w:r>
        <w:rPr>
          <w:rFonts w:hint="eastAsia" w:ascii="仿宋_GB2312"/>
          <w:sz w:val="32"/>
        </w:rPr>
        <w:t>加强湿地科普、宣传教育，建立和完善解说系统，宣传湿地功能和价值，普及湿地知识，提高公众湿地保护意识。充分结合西溪湿地特色，利用环境优势，科学制定湿地公园科普宣教发展目标，全面整合和挖掘科普宣教资源，凝练宣传教育主题，明确科普宣教的主要内容、建设重点、展示布局，规划系统的科普宣传教育体系。充分利用西溪湿地独具特色的自然景观资源和深厚的历史文化积淀，因地制宜地设置科普宣教场所，向社会公众宣传湿地功能价值，普及湿地科学知识，展示西溪湿地资源特色和价值，继承和弘扬湿地生态文化，讲好西溪湿地自己的故事。到2025年形成“室内室外联动、校地合作密切、活动丰富多彩、教育效果显著”的湿地科普新格局，实现科普宣教事业“常态化、社会化、品牌化”发展，将其打造成为闻名中外的湿地科普宣教基地、湿地文化传承胜地。</w:t>
      </w:r>
      <w:bookmarkEnd w:id="638"/>
      <w:bookmarkEnd w:id="639"/>
      <w:bookmarkEnd w:id="640"/>
      <w:bookmarkEnd w:id="641"/>
      <w:bookmarkEnd w:id="642"/>
      <w:bookmarkEnd w:id="643"/>
      <w:bookmarkEnd w:id="644"/>
    </w:p>
    <w:p>
      <w:pPr>
        <w:ind w:firstLine="640" w:firstLineChars="200"/>
        <w:outlineLvl w:val="3"/>
        <w:rPr>
          <w:rFonts w:hint="eastAsia" w:ascii="仿宋_GB2312"/>
          <w:bCs/>
          <w:sz w:val="32"/>
        </w:rPr>
      </w:pPr>
      <w:r>
        <w:rPr>
          <w:rFonts w:hint="eastAsia" w:ascii="仿宋_GB2312"/>
          <w:bCs/>
          <w:sz w:val="32"/>
        </w:rPr>
        <w:t>2、开展湿地宣传教育培训</w:t>
      </w:r>
    </w:p>
    <w:p>
      <w:pPr>
        <w:ind w:firstLine="640" w:firstLineChars="200"/>
        <w:rPr>
          <w:rFonts w:hint="eastAsia" w:ascii="仿宋_GB2312"/>
          <w:sz w:val="32"/>
        </w:rPr>
      </w:pPr>
      <w:r>
        <w:rPr>
          <w:rFonts w:hint="eastAsia" w:ascii="仿宋_GB2312"/>
          <w:sz w:val="32"/>
        </w:rPr>
        <w:t>依托高等院校和科研院所，开展湿地保护、科普等教育培训工作，特别是针对在职从事湿地保护的基层管理人员，主要培训内容为湿地基础知识、湿地保护与管理、湿地动植物保护、法律法规、信息系统等；同时加强国际交流与合作，采取请进来走出去方式，聘请国际湿地保护领域专家学者到西溪湿地交流国际上先进的湿地保护和科普宣教经验，组织基层管理人员到国外实地考察学习，增长才干，开阔眼界，通过国际交流活动，培养湿地保护与管理方面高级人才，并积极参加或参与举办湿地保护管理和科普宣教的研讨会，提高湿地保护及科普宣教能力。</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Pr>
        <w:pStyle w:val="4"/>
      </w:pPr>
      <w:bookmarkStart w:id="645" w:name="_Toc18532"/>
      <w:bookmarkStart w:id="646" w:name="_Toc3538"/>
      <w:bookmarkStart w:id="647" w:name="_Toc21471"/>
      <w:bookmarkStart w:id="648" w:name="_Toc13303"/>
      <w:bookmarkStart w:id="649" w:name="_Toc9996"/>
      <w:bookmarkStart w:id="650" w:name="_Toc30588"/>
      <w:bookmarkStart w:id="651" w:name="_Toc24889"/>
      <w:bookmarkStart w:id="652" w:name="_Toc31790"/>
      <w:bookmarkStart w:id="653" w:name="_Toc16750"/>
      <w:bookmarkStart w:id="654" w:name="_Toc26096"/>
      <w:bookmarkStart w:id="655" w:name="_Toc13519"/>
      <w:bookmarkStart w:id="656" w:name="_Toc13588"/>
      <w:bookmarkStart w:id="657" w:name="_Toc14418"/>
      <w:bookmarkStart w:id="658" w:name="_Toc30127"/>
      <w:bookmarkStart w:id="659" w:name="_Toc22841"/>
      <w:bookmarkStart w:id="660" w:name="_Toc21834"/>
      <w:bookmarkStart w:id="661" w:name="_Toc1575"/>
      <w:bookmarkStart w:id="662" w:name="_Toc9831"/>
      <w:bookmarkStart w:id="663" w:name="_Toc6854"/>
      <w:bookmarkStart w:id="664" w:name="_Toc20357"/>
      <w:bookmarkStart w:id="665" w:name="_Toc7420"/>
      <w:bookmarkStart w:id="666" w:name="_Toc23818"/>
      <w:bookmarkStart w:id="667" w:name="_Toc27438"/>
      <w:bookmarkStart w:id="668" w:name="_Toc3715"/>
      <w:bookmarkStart w:id="669" w:name="_Toc22997"/>
      <w:bookmarkStart w:id="670" w:name="_Toc3974"/>
      <w:bookmarkStart w:id="671" w:name="_Toc11615"/>
      <w:bookmarkStart w:id="672" w:name="_Toc28456"/>
      <w:bookmarkStart w:id="673" w:name="_Toc27695"/>
      <w:r>
        <w:rPr>
          <w:rFonts w:hint="eastAsia"/>
        </w:rPr>
        <w:t>第四章 “十四五”生态</w:t>
      </w:r>
      <w:r>
        <w:t>环境保护重点工程</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10"/>
        <w:spacing w:after="0"/>
        <w:ind w:left="0" w:leftChars="0" w:firstLine="640"/>
        <w:rPr>
          <w:rFonts w:hint="eastAsia" w:ascii="仿宋_GB2312" w:eastAsia="仿宋_GB2312"/>
          <w:sz w:val="32"/>
          <w:szCs w:val="32"/>
        </w:rPr>
      </w:pPr>
      <w:r>
        <w:rPr>
          <w:rFonts w:hint="eastAsia" w:ascii="仿宋_GB2312" w:eastAsia="仿宋_GB2312"/>
          <w:sz w:val="32"/>
          <w:szCs w:val="32"/>
        </w:rPr>
        <w:t>“十四五”期间，杭州西溪国家湿地公园生态环境保护从水环境保护、土壤环境保护、生态环境保护、大气环境质量改善、现代化治理体系建设等五个领域实施重点工程9项，估算总投资达到2.04亿元。其中，水环境保护类项目2个，土壤环境保护类项目3个，生态环境保护类项目3个，现代化治理体系建设类项目1个。</w:t>
      </w:r>
    </w:p>
    <w:p>
      <w:pPr>
        <w:ind w:firstLine="560" w:firstLineChars="200"/>
        <w:rPr>
          <w:rFonts w:hint="eastAsia" w:ascii="仿宋_GB2312"/>
        </w:rPr>
        <w:sectPr>
          <w:footerReference r:id="rId5" w:type="default"/>
          <w:pgSz w:w="11906" w:h="16838"/>
          <w:pgMar w:top="1440" w:right="1800" w:bottom="1440" w:left="1800" w:header="851" w:footer="992" w:gutter="0"/>
          <w:pgNumType w:start="1"/>
          <w:cols w:space="720" w:num="1"/>
          <w:docGrid w:type="lines" w:linePitch="312" w:charSpace="0"/>
        </w:sectPr>
      </w:pPr>
    </w:p>
    <w:p>
      <w:pPr>
        <w:jc w:val="center"/>
        <w:rPr>
          <w:b/>
          <w:bCs/>
          <w:sz w:val="24"/>
          <w:szCs w:val="21"/>
        </w:rPr>
      </w:pPr>
      <w:r>
        <w:rPr>
          <w:b/>
          <w:bCs/>
          <w:sz w:val="24"/>
          <w:szCs w:val="21"/>
        </w:rPr>
        <w:t>表</w:t>
      </w:r>
      <w:r>
        <w:rPr>
          <w:rFonts w:hint="eastAsia"/>
          <w:b/>
          <w:bCs/>
          <w:sz w:val="24"/>
          <w:szCs w:val="21"/>
        </w:rPr>
        <w:t>4</w:t>
      </w:r>
      <w:r>
        <w:rPr>
          <w:b/>
          <w:bCs/>
          <w:sz w:val="24"/>
          <w:szCs w:val="21"/>
        </w:rPr>
        <w:t>-1  “十四五”生态环境保护规划重点</w:t>
      </w:r>
      <w:r>
        <w:rPr>
          <w:rFonts w:hint="eastAsia"/>
          <w:b/>
          <w:bCs/>
          <w:sz w:val="24"/>
          <w:szCs w:val="21"/>
        </w:rPr>
        <w:t>工程</w:t>
      </w:r>
      <w:r>
        <w:rPr>
          <w:b/>
          <w:bCs/>
          <w:sz w:val="24"/>
          <w:szCs w:val="21"/>
        </w:rPr>
        <w:t>表</w:t>
      </w:r>
    </w:p>
    <w:tbl>
      <w:tblPr>
        <w:tblStyle w:val="11"/>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697"/>
        <w:gridCol w:w="1697"/>
        <w:gridCol w:w="6215"/>
        <w:gridCol w:w="1099"/>
        <w:gridCol w:w="1023"/>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1"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序号</w:t>
            </w:r>
          </w:p>
        </w:tc>
        <w:tc>
          <w:tcPr>
            <w:tcW w:w="1697" w:type="dxa"/>
            <w:noWrap w:val="0"/>
            <w:vAlign w:val="center"/>
          </w:tcPr>
          <w:p>
            <w:pPr>
              <w:pStyle w:val="10"/>
              <w:spacing w:after="0"/>
              <w:ind w:left="0" w:leftChars="0" w:firstLine="0" w:firstLineChars="0"/>
              <w:jc w:val="center"/>
              <w:rPr>
                <w:rFonts w:eastAsia="仿宋_GB2312"/>
                <w:b/>
                <w:bCs/>
                <w:sz w:val="24"/>
                <w:szCs w:val="24"/>
              </w:rPr>
            </w:pPr>
            <w:r>
              <w:rPr>
                <w:rFonts w:hint="eastAsia" w:eastAsia="仿宋_GB2312"/>
                <w:b/>
                <w:bCs/>
                <w:sz w:val="24"/>
                <w:szCs w:val="24"/>
              </w:rPr>
              <w:t>项目领域</w:t>
            </w:r>
          </w:p>
        </w:tc>
        <w:tc>
          <w:tcPr>
            <w:tcW w:w="1697"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任务名称</w:t>
            </w:r>
          </w:p>
        </w:tc>
        <w:tc>
          <w:tcPr>
            <w:tcW w:w="6215"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主要内容</w:t>
            </w:r>
          </w:p>
        </w:tc>
        <w:tc>
          <w:tcPr>
            <w:tcW w:w="1099"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总投资（万元）</w:t>
            </w:r>
          </w:p>
        </w:tc>
        <w:tc>
          <w:tcPr>
            <w:tcW w:w="1023"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完成年份</w:t>
            </w:r>
          </w:p>
        </w:tc>
        <w:tc>
          <w:tcPr>
            <w:tcW w:w="1731" w:type="dxa"/>
            <w:noWrap w:val="0"/>
            <w:vAlign w:val="center"/>
          </w:tcPr>
          <w:p>
            <w:pPr>
              <w:pStyle w:val="10"/>
              <w:spacing w:after="0"/>
              <w:ind w:left="0" w:leftChars="0" w:firstLine="0" w:firstLineChars="0"/>
              <w:jc w:val="center"/>
              <w:rPr>
                <w:rFonts w:eastAsia="仿宋_GB2312"/>
                <w:b/>
                <w:bCs/>
                <w:sz w:val="24"/>
                <w:szCs w:val="24"/>
              </w:rPr>
            </w:pPr>
            <w:r>
              <w:rPr>
                <w:rFonts w:eastAsia="仿宋_GB2312"/>
                <w:b/>
                <w:bCs/>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restart"/>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生态环境保护</w:t>
            </w:r>
          </w:p>
        </w:tc>
        <w:tc>
          <w:tcPr>
            <w:tcW w:w="169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环西溪绿道及五大出入口景观提升改造项目</w:t>
            </w:r>
          </w:p>
        </w:tc>
        <w:tc>
          <w:tcPr>
            <w:tcW w:w="6215" w:type="dxa"/>
            <w:noWrap w:val="0"/>
            <w:vAlign w:val="center"/>
          </w:tcPr>
          <w:p>
            <w:pPr>
              <w:pStyle w:val="10"/>
              <w:spacing w:after="0"/>
              <w:ind w:left="0" w:leftChars="0" w:firstLine="0" w:firstLineChars="0"/>
              <w:jc w:val="left"/>
              <w:rPr>
                <w:rFonts w:hint="eastAsia" w:eastAsia="仿宋_GB2312"/>
                <w:sz w:val="24"/>
                <w:szCs w:val="24"/>
              </w:rPr>
            </w:pPr>
            <w:r>
              <w:rPr>
                <w:rFonts w:eastAsia="仿宋_GB2312"/>
                <w:sz w:val="24"/>
                <w:szCs w:val="24"/>
              </w:rPr>
              <w:t>建设总长约20公里的环西溪绿道（其中改造提升现有园路及栈道约18.7公里，新增园路1.3公里、沿山河桥梁一座），平均路宽3.5米。绿道两侧环境整治面积约25万平方米，19处建筑物（含构筑物）的修缮提升，改造5大出入口绿化面积约30000平方米，景观铺装面积约30000平方米，新增科普设施、数字化智能化设施，各类配套管线和城市家具设施设备改造。</w:t>
            </w:r>
          </w:p>
        </w:tc>
        <w:tc>
          <w:tcPr>
            <w:tcW w:w="1099" w:type="dxa"/>
            <w:noWrap w:val="0"/>
            <w:vAlign w:val="center"/>
          </w:tcPr>
          <w:p>
            <w:pPr>
              <w:pStyle w:val="10"/>
              <w:spacing w:after="0"/>
              <w:ind w:left="0" w:leftChars="0" w:firstLine="0" w:firstLineChars="0"/>
              <w:jc w:val="center"/>
              <w:rPr>
                <w:rFonts w:hint="eastAsia" w:eastAsia="仿宋_GB2312"/>
                <w:sz w:val="24"/>
                <w:szCs w:val="24"/>
              </w:rPr>
            </w:pPr>
            <w:r>
              <w:rPr>
                <w:rFonts w:hint="eastAsia" w:eastAsia="仿宋_GB2312"/>
                <w:sz w:val="24"/>
                <w:szCs w:val="24"/>
              </w:rPr>
              <w:t>9931</w:t>
            </w:r>
          </w:p>
        </w:tc>
        <w:tc>
          <w:tcPr>
            <w:tcW w:w="1023"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2022年</w:t>
            </w:r>
          </w:p>
        </w:tc>
        <w:tc>
          <w:tcPr>
            <w:tcW w:w="1731"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区风景园林局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continue"/>
            <w:noWrap w:val="0"/>
            <w:vAlign w:val="center"/>
          </w:tcPr>
          <w:p>
            <w:pPr>
              <w:pStyle w:val="10"/>
              <w:spacing w:after="0"/>
              <w:ind w:left="0" w:leftChars="0" w:firstLine="0" w:firstLineChars="0"/>
              <w:jc w:val="center"/>
              <w:rPr>
                <w:rFonts w:hint="eastAsia" w:eastAsia="仿宋_GB2312"/>
                <w:sz w:val="24"/>
                <w:szCs w:val="24"/>
              </w:rPr>
            </w:pPr>
          </w:p>
        </w:tc>
        <w:tc>
          <w:tcPr>
            <w:tcW w:w="1697" w:type="dxa"/>
            <w:noWrap w:val="0"/>
            <w:vAlign w:val="center"/>
          </w:tcPr>
          <w:p>
            <w:pPr>
              <w:jc w:val="center"/>
              <w:rPr>
                <w:rFonts w:hint="eastAsia"/>
                <w:sz w:val="24"/>
                <w:szCs w:val="24"/>
              </w:rPr>
            </w:pPr>
            <w:r>
              <w:rPr>
                <w:rFonts w:hint="eastAsia"/>
                <w:sz w:val="24"/>
                <w:szCs w:val="24"/>
              </w:rPr>
              <w:t>西湖西溪湿地生物多样性本底调查</w:t>
            </w:r>
          </w:p>
        </w:tc>
        <w:tc>
          <w:tcPr>
            <w:tcW w:w="6215" w:type="dxa"/>
            <w:noWrap w:val="0"/>
            <w:vAlign w:val="center"/>
          </w:tcPr>
          <w:p>
            <w:pPr>
              <w:jc w:val="left"/>
              <w:rPr>
                <w:rFonts w:hint="eastAsia"/>
                <w:sz w:val="24"/>
                <w:szCs w:val="24"/>
              </w:rPr>
            </w:pPr>
            <w:r>
              <w:rPr>
                <w:rFonts w:hint="eastAsia"/>
                <w:sz w:val="24"/>
                <w:szCs w:val="24"/>
              </w:rPr>
              <w:t>对西湖西溪湿地开展生物多样性本底调查，加强生物多样性保护。</w:t>
            </w:r>
          </w:p>
        </w:tc>
        <w:tc>
          <w:tcPr>
            <w:tcW w:w="1099" w:type="dxa"/>
            <w:noWrap w:val="0"/>
            <w:vAlign w:val="center"/>
          </w:tcPr>
          <w:p>
            <w:pPr>
              <w:jc w:val="center"/>
              <w:rPr>
                <w:rFonts w:hint="eastAsia"/>
                <w:sz w:val="24"/>
                <w:szCs w:val="24"/>
              </w:rPr>
            </w:pPr>
            <w:r>
              <w:rPr>
                <w:rFonts w:hint="eastAsia"/>
                <w:sz w:val="24"/>
                <w:szCs w:val="24"/>
              </w:rPr>
              <w:t>100</w:t>
            </w:r>
          </w:p>
        </w:tc>
        <w:tc>
          <w:tcPr>
            <w:tcW w:w="1023" w:type="dxa"/>
            <w:noWrap w:val="0"/>
            <w:vAlign w:val="center"/>
          </w:tcPr>
          <w:p>
            <w:pPr>
              <w:jc w:val="center"/>
              <w:rPr>
                <w:rFonts w:hint="eastAsia"/>
                <w:sz w:val="24"/>
                <w:szCs w:val="24"/>
              </w:rPr>
            </w:pPr>
            <w:r>
              <w:rPr>
                <w:rFonts w:hint="eastAsia"/>
                <w:sz w:val="24"/>
                <w:szCs w:val="24"/>
              </w:rPr>
              <w:t>2022年</w:t>
            </w:r>
          </w:p>
        </w:tc>
        <w:tc>
          <w:tcPr>
            <w:tcW w:w="1731" w:type="dxa"/>
            <w:noWrap w:val="0"/>
            <w:vAlign w:val="center"/>
          </w:tcPr>
          <w:p>
            <w:pPr>
              <w:jc w:val="left"/>
              <w:rPr>
                <w:rFonts w:hint="eastAsia"/>
                <w:sz w:val="24"/>
                <w:szCs w:val="24"/>
              </w:rPr>
            </w:pPr>
            <w:r>
              <w:rPr>
                <w:rFonts w:hint="eastAsia"/>
                <w:sz w:val="24"/>
                <w:szCs w:val="24"/>
              </w:rPr>
              <w:t>杭州植物园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continue"/>
            <w:noWrap w:val="0"/>
            <w:vAlign w:val="center"/>
          </w:tcPr>
          <w:p>
            <w:pPr>
              <w:pStyle w:val="10"/>
              <w:spacing w:after="0"/>
              <w:ind w:left="0" w:leftChars="0" w:firstLine="0" w:firstLineChars="0"/>
              <w:jc w:val="center"/>
              <w:rPr>
                <w:rFonts w:hint="eastAsia" w:eastAsia="仿宋_GB2312"/>
                <w:sz w:val="24"/>
                <w:szCs w:val="24"/>
              </w:rPr>
            </w:pPr>
          </w:p>
        </w:tc>
        <w:tc>
          <w:tcPr>
            <w:tcW w:w="1697" w:type="dxa"/>
            <w:noWrap w:val="0"/>
            <w:vAlign w:val="center"/>
          </w:tcPr>
          <w:p>
            <w:pPr>
              <w:jc w:val="center"/>
              <w:rPr>
                <w:rFonts w:hint="eastAsia"/>
                <w:sz w:val="24"/>
                <w:szCs w:val="24"/>
              </w:rPr>
            </w:pPr>
            <w:r>
              <w:rPr>
                <w:rFonts w:hint="eastAsia"/>
                <w:sz w:val="24"/>
                <w:szCs w:val="24"/>
              </w:rPr>
              <w:t>西溪湿地生物多样性保护展示工程（一期）</w:t>
            </w:r>
          </w:p>
        </w:tc>
        <w:tc>
          <w:tcPr>
            <w:tcW w:w="6215" w:type="dxa"/>
            <w:noWrap w:val="0"/>
            <w:vAlign w:val="center"/>
          </w:tcPr>
          <w:p>
            <w:pPr>
              <w:jc w:val="left"/>
              <w:rPr>
                <w:rFonts w:hint="eastAsia"/>
                <w:sz w:val="24"/>
                <w:szCs w:val="24"/>
              </w:rPr>
            </w:pPr>
            <w:r>
              <w:rPr>
                <w:rFonts w:hint="eastAsia"/>
                <w:sz w:val="24"/>
                <w:szCs w:val="24"/>
              </w:rPr>
              <w:t>植物群落修复约36000平方米，园路栈道修复约5200平方米以及增设科普标志牌等设施。</w:t>
            </w:r>
          </w:p>
        </w:tc>
        <w:tc>
          <w:tcPr>
            <w:tcW w:w="1099" w:type="dxa"/>
            <w:noWrap w:val="0"/>
            <w:vAlign w:val="center"/>
          </w:tcPr>
          <w:p>
            <w:pPr>
              <w:jc w:val="center"/>
              <w:rPr>
                <w:rFonts w:hint="eastAsia"/>
                <w:sz w:val="24"/>
                <w:szCs w:val="24"/>
              </w:rPr>
            </w:pPr>
            <w:r>
              <w:rPr>
                <w:rFonts w:hint="eastAsia"/>
                <w:sz w:val="24"/>
                <w:szCs w:val="24"/>
              </w:rPr>
              <w:t>986</w:t>
            </w:r>
          </w:p>
        </w:tc>
        <w:tc>
          <w:tcPr>
            <w:tcW w:w="1023" w:type="dxa"/>
            <w:noWrap w:val="0"/>
            <w:vAlign w:val="center"/>
          </w:tcPr>
          <w:p>
            <w:pPr>
              <w:jc w:val="center"/>
              <w:rPr>
                <w:rFonts w:hint="eastAsia"/>
                <w:sz w:val="24"/>
                <w:szCs w:val="24"/>
              </w:rPr>
            </w:pPr>
            <w:r>
              <w:rPr>
                <w:rFonts w:hint="eastAsia"/>
                <w:sz w:val="24"/>
                <w:szCs w:val="24"/>
              </w:rPr>
              <w:t>2023年</w:t>
            </w:r>
          </w:p>
        </w:tc>
        <w:tc>
          <w:tcPr>
            <w:tcW w:w="1731" w:type="dxa"/>
            <w:noWrap w:val="0"/>
            <w:vAlign w:val="center"/>
          </w:tcPr>
          <w:p>
            <w:pPr>
              <w:jc w:val="left"/>
              <w:rPr>
                <w:rFonts w:hint="eastAsia"/>
                <w:sz w:val="24"/>
                <w:szCs w:val="24"/>
              </w:rPr>
            </w:pPr>
            <w:r>
              <w:rPr>
                <w:rFonts w:hint="eastAsia"/>
                <w:sz w:val="24"/>
                <w:szCs w:val="24"/>
              </w:rPr>
              <w:t>杭州西溪国家湿地公园生态文化研究中心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restart"/>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水环境保护</w:t>
            </w:r>
          </w:p>
        </w:tc>
        <w:tc>
          <w:tcPr>
            <w:tcW w:w="169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西溪湿地水环境治理</w:t>
            </w:r>
            <w:r>
              <w:rPr>
                <w:rFonts w:hint="eastAsia" w:eastAsia="仿宋_GB2312"/>
                <w:sz w:val="24"/>
                <w:szCs w:val="24"/>
              </w:rPr>
              <w:t>一期</w:t>
            </w:r>
            <w:r>
              <w:rPr>
                <w:rFonts w:eastAsia="仿宋_GB2312"/>
                <w:sz w:val="24"/>
                <w:szCs w:val="24"/>
              </w:rPr>
              <w:t>项目</w:t>
            </w:r>
          </w:p>
        </w:tc>
        <w:tc>
          <w:tcPr>
            <w:tcW w:w="6215" w:type="dxa"/>
            <w:noWrap w:val="0"/>
            <w:vAlign w:val="center"/>
          </w:tcPr>
          <w:p>
            <w:pPr>
              <w:pStyle w:val="10"/>
              <w:spacing w:after="0"/>
              <w:ind w:left="0" w:leftChars="0" w:firstLine="0" w:firstLineChars="0"/>
              <w:jc w:val="left"/>
              <w:rPr>
                <w:rFonts w:eastAsia="仿宋_GB2312"/>
                <w:sz w:val="24"/>
                <w:szCs w:val="24"/>
              </w:rPr>
            </w:pPr>
            <w:r>
              <w:rPr>
                <w:rFonts w:hint="eastAsia" w:eastAsia="仿宋_GB2312"/>
                <w:sz w:val="24"/>
                <w:szCs w:val="24"/>
              </w:rPr>
              <w:t>完成26座闸站改造提升，新增水位在线监测点10个，视频在线监控点12个，闸门自动化控制系统1套；污水管网改造约10.0km（以实测为准）；三基鱼塘清淤1.88万方，在清理外来入侵物种4.4万平方米（以实测为准）基础上，实施沉水植被为主的生态修复6.8万平方米（以实测为准）。</w:t>
            </w:r>
          </w:p>
        </w:tc>
        <w:tc>
          <w:tcPr>
            <w:tcW w:w="1099" w:type="dxa"/>
            <w:noWrap w:val="0"/>
            <w:vAlign w:val="center"/>
          </w:tcPr>
          <w:p>
            <w:pPr>
              <w:pStyle w:val="10"/>
              <w:spacing w:after="0"/>
              <w:ind w:left="0" w:leftChars="0" w:firstLine="0" w:firstLineChars="0"/>
              <w:jc w:val="center"/>
              <w:rPr>
                <w:rFonts w:eastAsia="仿宋_GB2312"/>
                <w:sz w:val="24"/>
                <w:szCs w:val="24"/>
                <w:highlight w:val="yellow"/>
              </w:rPr>
            </w:pPr>
            <w:r>
              <w:rPr>
                <w:rFonts w:hint="eastAsia" w:eastAsia="仿宋_GB2312"/>
                <w:sz w:val="24"/>
                <w:szCs w:val="24"/>
              </w:rPr>
              <w:t>8370</w:t>
            </w:r>
          </w:p>
        </w:tc>
        <w:tc>
          <w:tcPr>
            <w:tcW w:w="1023" w:type="dxa"/>
            <w:noWrap w:val="0"/>
            <w:vAlign w:val="center"/>
          </w:tcPr>
          <w:p>
            <w:pPr>
              <w:pStyle w:val="10"/>
              <w:spacing w:after="0"/>
              <w:ind w:left="0" w:leftChars="0" w:firstLine="0" w:firstLineChars="0"/>
              <w:jc w:val="center"/>
              <w:rPr>
                <w:rFonts w:hint="eastAsia" w:eastAsia="仿宋_GB2312"/>
                <w:sz w:val="24"/>
                <w:szCs w:val="24"/>
              </w:rPr>
            </w:pPr>
            <w:r>
              <w:rPr>
                <w:rFonts w:eastAsia="仿宋_GB2312"/>
                <w:sz w:val="24"/>
                <w:szCs w:val="24"/>
              </w:rPr>
              <w:t>2025</w:t>
            </w:r>
            <w:r>
              <w:rPr>
                <w:rFonts w:hint="eastAsia" w:eastAsia="仿宋_GB2312"/>
                <w:sz w:val="24"/>
                <w:szCs w:val="24"/>
              </w:rPr>
              <w:t>年</w:t>
            </w:r>
          </w:p>
        </w:tc>
        <w:tc>
          <w:tcPr>
            <w:tcW w:w="1731"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杭州西溪国家湿地公园生态研究中心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continue"/>
            <w:noWrap w:val="0"/>
            <w:vAlign w:val="center"/>
          </w:tcPr>
          <w:p>
            <w:pPr>
              <w:pStyle w:val="10"/>
              <w:spacing w:after="0"/>
              <w:ind w:left="0" w:leftChars="0" w:firstLine="0" w:firstLineChars="0"/>
              <w:jc w:val="center"/>
              <w:rPr>
                <w:rFonts w:hint="eastAsia" w:eastAsia="仿宋_GB2312"/>
                <w:sz w:val="24"/>
                <w:szCs w:val="24"/>
              </w:rPr>
            </w:pPr>
          </w:p>
        </w:tc>
        <w:tc>
          <w:tcPr>
            <w:tcW w:w="1697"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新开河疏浚工程</w:t>
            </w:r>
          </w:p>
        </w:tc>
        <w:tc>
          <w:tcPr>
            <w:tcW w:w="6215" w:type="dxa"/>
            <w:noWrap w:val="0"/>
            <w:vAlign w:val="center"/>
          </w:tcPr>
          <w:p>
            <w:pPr>
              <w:pStyle w:val="10"/>
              <w:spacing w:after="0"/>
              <w:ind w:left="0" w:leftChars="0" w:firstLine="0" w:firstLineChars="0"/>
              <w:jc w:val="left"/>
              <w:rPr>
                <w:rFonts w:eastAsia="仿宋_GB2312"/>
                <w:sz w:val="24"/>
                <w:szCs w:val="24"/>
              </w:rPr>
            </w:pPr>
            <w:r>
              <w:rPr>
                <w:rFonts w:eastAsia="仿宋_GB2312"/>
                <w:sz w:val="24"/>
                <w:szCs w:val="24"/>
              </w:rPr>
              <w:t>工程面积约35700平方米，包括市政工程、绿化工程、水闸修复工程、安装工程。工程性质市政工程。</w:t>
            </w:r>
          </w:p>
        </w:tc>
        <w:tc>
          <w:tcPr>
            <w:tcW w:w="1099"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950</w:t>
            </w:r>
          </w:p>
        </w:tc>
        <w:tc>
          <w:tcPr>
            <w:tcW w:w="1023"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2021年</w:t>
            </w:r>
          </w:p>
        </w:tc>
        <w:tc>
          <w:tcPr>
            <w:tcW w:w="1731"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区建设管理中心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restart"/>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土壤环境保护</w:t>
            </w:r>
          </w:p>
        </w:tc>
        <w:tc>
          <w:tcPr>
            <w:tcW w:w="169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西溪湿地违章建筑拆除服务项目</w:t>
            </w:r>
          </w:p>
        </w:tc>
        <w:tc>
          <w:tcPr>
            <w:tcW w:w="6215" w:type="dxa"/>
            <w:noWrap w:val="0"/>
            <w:vAlign w:val="center"/>
          </w:tcPr>
          <w:p>
            <w:pPr>
              <w:pStyle w:val="10"/>
              <w:spacing w:after="0"/>
              <w:ind w:left="0" w:leftChars="0" w:firstLine="0" w:firstLineChars="0"/>
              <w:jc w:val="left"/>
              <w:rPr>
                <w:rFonts w:eastAsia="仿宋_GB2312"/>
                <w:sz w:val="24"/>
                <w:szCs w:val="24"/>
              </w:rPr>
            </w:pPr>
            <w:r>
              <w:rPr>
                <w:rFonts w:hint="eastAsia" w:eastAsia="仿宋_GB2312"/>
                <w:sz w:val="24"/>
                <w:szCs w:val="24"/>
              </w:rPr>
              <w:t>完成</w:t>
            </w:r>
            <w:r>
              <w:rPr>
                <w:rFonts w:eastAsia="仿宋_GB2312"/>
                <w:sz w:val="24"/>
                <w:szCs w:val="24"/>
              </w:rPr>
              <w:t>西溪湿地违章建筑拆除、清运和平整场地</w:t>
            </w:r>
            <w:r>
              <w:rPr>
                <w:rFonts w:hint="eastAsia" w:eastAsia="仿宋_GB2312"/>
                <w:sz w:val="24"/>
                <w:szCs w:val="24"/>
              </w:rPr>
              <w:t>。</w:t>
            </w:r>
          </w:p>
        </w:tc>
        <w:tc>
          <w:tcPr>
            <w:tcW w:w="109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48</w:t>
            </w:r>
          </w:p>
        </w:tc>
        <w:tc>
          <w:tcPr>
            <w:tcW w:w="1023"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2021年</w:t>
            </w:r>
          </w:p>
        </w:tc>
        <w:tc>
          <w:tcPr>
            <w:tcW w:w="1731"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西湖西溪管委会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continue"/>
            <w:noWrap w:val="0"/>
            <w:vAlign w:val="center"/>
          </w:tcPr>
          <w:p>
            <w:pPr>
              <w:pStyle w:val="10"/>
              <w:spacing w:after="0"/>
              <w:ind w:left="0" w:leftChars="0" w:firstLine="0" w:firstLineChars="0"/>
              <w:jc w:val="center"/>
              <w:rPr>
                <w:rFonts w:eastAsia="仿宋_GB2312"/>
                <w:sz w:val="24"/>
                <w:szCs w:val="24"/>
              </w:rPr>
            </w:pPr>
          </w:p>
        </w:tc>
        <w:tc>
          <w:tcPr>
            <w:tcW w:w="169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西溪湿地巡查检查服务项目</w:t>
            </w:r>
          </w:p>
        </w:tc>
        <w:tc>
          <w:tcPr>
            <w:tcW w:w="6215" w:type="dxa"/>
            <w:noWrap w:val="0"/>
            <w:vAlign w:val="center"/>
          </w:tcPr>
          <w:p>
            <w:pPr>
              <w:pStyle w:val="10"/>
              <w:spacing w:after="0"/>
              <w:ind w:left="0" w:leftChars="0" w:firstLine="0" w:firstLineChars="0"/>
              <w:jc w:val="left"/>
              <w:rPr>
                <w:rFonts w:eastAsia="仿宋_GB2312"/>
                <w:sz w:val="24"/>
                <w:szCs w:val="24"/>
              </w:rPr>
            </w:pPr>
            <w:r>
              <w:rPr>
                <w:rFonts w:eastAsia="仿宋_GB2312"/>
                <w:sz w:val="24"/>
                <w:szCs w:val="24"/>
              </w:rPr>
              <w:t>加强景区管理，建设优美文明卫生洁净的现代城市，对西溪湿地辖区的安全消防、设施设备、环境卫生和其他文明创建等相关内容进行巡查检查工作。</w:t>
            </w:r>
          </w:p>
        </w:tc>
        <w:tc>
          <w:tcPr>
            <w:tcW w:w="109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45.1</w:t>
            </w:r>
          </w:p>
        </w:tc>
        <w:tc>
          <w:tcPr>
            <w:tcW w:w="1023"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2021年</w:t>
            </w:r>
          </w:p>
        </w:tc>
        <w:tc>
          <w:tcPr>
            <w:tcW w:w="1731"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西湖西溪管委会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vMerge w:val="continue"/>
            <w:noWrap w:val="0"/>
            <w:vAlign w:val="center"/>
          </w:tcPr>
          <w:p>
            <w:pPr>
              <w:pStyle w:val="10"/>
              <w:spacing w:after="0"/>
              <w:ind w:left="0" w:leftChars="0" w:firstLine="0" w:firstLineChars="0"/>
              <w:jc w:val="center"/>
              <w:rPr>
                <w:rFonts w:eastAsia="仿宋_GB2312"/>
                <w:sz w:val="24"/>
                <w:szCs w:val="24"/>
              </w:rPr>
            </w:pPr>
          </w:p>
        </w:tc>
        <w:tc>
          <w:tcPr>
            <w:tcW w:w="1697" w:type="dxa"/>
            <w:noWrap w:val="0"/>
            <w:vAlign w:val="center"/>
          </w:tcPr>
          <w:p>
            <w:pPr>
              <w:pStyle w:val="10"/>
              <w:spacing w:after="0"/>
              <w:ind w:left="0" w:leftChars="0" w:firstLine="0" w:firstLineChars="0"/>
              <w:jc w:val="center"/>
              <w:rPr>
                <w:rFonts w:eastAsia="仿宋_GB2312"/>
                <w:sz w:val="24"/>
                <w:szCs w:val="24"/>
              </w:rPr>
            </w:pPr>
            <w:r>
              <w:rPr>
                <w:rFonts w:eastAsia="仿宋_GB2312"/>
                <w:sz w:val="24"/>
                <w:szCs w:val="24"/>
              </w:rPr>
              <w:t>西溪湿地土地利用现状调查项目</w:t>
            </w:r>
          </w:p>
        </w:tc>
        <w:tc>
          <w:tcPr>
            <w:tcW w:w="6215" w:type="dxa"/>
            <w:noWrap w:val="0"/>
            <w:vAlign w:val="center"/>
          </w:tcPr>
          <w:p>
            <w:pPr>
              <w:pStyle w:val="10"/>
              <w:spacing w:after="0"/>
              <w:ind w:left="0" w:leftChars="0" w:firstLine="0" w:firstLineChars="0"/>
              <w:jc w:val="left"/>
              <w:rPr>
                <w:rFonts w:eastAsia="仿宋_GB2312"/>
                <w:sz w:val="24"/>
                <w:szCs w:val="24"/>
              </w:rPr>
            </w:pPr>
            <w:r>
              <w:rPr>
                <w:rFonts w:eastAsia="仿宋_GB2312"/>
                <w:sz w:val="24"/>
                <w:szCs w:val="24"/>
              </w:rPr>
              <w:t>为贯彻落实市委市政府关于加强对西溪国家湿地公园的保护管理的要求，全面掌握西溪湿地最新土地利用情况，对西溪湿地开展专项调查工作，以期为管理部门提供最新的详实的数据支撑。</w:t>
            </w:r>
          </w:p>
        </w:tc>
        <w:tc>
          <w:tcPr>
            <w:tcW w:w="1099"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14.9</w:t>
            </w:r>
          </w:p>
        </w:tc>
        <w:tc>
          <w:tcPr>
            <w:tcW w:w="1023"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2021年</w:t>
            </w:r>
          </w:p>
        </w:tc>
        <w:tc>
          <w:tcPr>
            <w:tcW w:w="1731" w:type="dxa"/>
            <w:noWrap w:val="0"/>
            <w:vAlign w:val="center"/>
          </w:tcPr>
          <w:p>
            <w:pPr>
              <w:pStyle w:val="10"/>
              <w:spacing w:after="0"/>
              <w:ind w:left="0" w:leftChars="0" w:firstLine="0" w:firstLineChars="0"/>
              <w:jc w:val="center"/>
              <w:rPr>
                <w:rFonts w:eastAsia="仿宋_GB2312"/>
                <w:sz w:val="24"/>
                <w:szCs w:val="24"/>
              </w:rPr>
            </w:pPr>
            <w:r>
              <w:rPr>
                <w:rFonts w:hint="eastAsia" w:eastAsia="仿宋_GB2312"/>
                <w:sz w:val="24"/>
                <w:szCs w:val="24"/>
              </w:rPr>
              <w:t>规划和自然资源分局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noWrap w:val="0"/>
            <w:vAlign w:val="center"/>
          </w:tcPr>
          <w:p>
            <w:pPr>
              <w:pStyle w:val="10"/>
              <w:numPr>
                <w:ilvl w:val="0"/>
                <w:numId w:val="3"/>
              </w:numPr>
              <w:spacing w:after="0"/>
              <w:ind w:leftChars="0" w:firstLineChars="0"/>
              <w:jc w:val="center"/>
              <w:rPr>
                <w:rFonts w:eastAsia="仿宋_GB2312"/>
                <w:sz w:val="24"/>
                <w:szCs w:val="24"/>
              </w:rPr>
            </w:pPr>
          </w:p>
        </w:tc>
        <w:tc>
          <w:tcPr>
            <w:tcW w:w="1697" w:type="dxa"/>
            <w:noWrap w:val="0"/>
            <w:vAlign w:val="center"/>
          </w:tcPr>
          <w:p>
            <w:pPr>
              <w:jc w:val="center"/>
              <w:rPr>
                <w:rFonts w:hint="eastAsia"/>
                <w:sz w:val="24"/>
                <w:szCs w:val="24"/>
              </w:rPr>
            </w:pPr>
            <w:r>
              <w:rPr>
                <w:rFonts w:hint="eastAsia"/>
                <w:sz w:val="24"/>
                <w:szCs w:val="24"/>
              </w:rPr>
              <w:t>现代化治理体系建设</w:t>
            </w:r>
          </w:p>
        </w:tc>
        <w:tc>
          <w:tcPr>
            <w:tcW w:w="1697" w:type="dxa"/>
            <w:noWrap w:val="0"/>
            <w:vAlign w:val="center"/>
          </w:tcPr>
          <w:p>
            <w:pPr>
              <w:jc w:val="center"/>
              <w:rPr>
                <w:sz w:val="24"/>
                <w:szCs w:val="24"/>
              </w:rPr>
            </w:pPr>
            <w:r>
              <w:rPr>
                <w:rFonts w:hint="eastAsia"/>
                <w:sz w:val="24"/>
                <w:szCs w:val="24"/>
              </w:rPr>
              <w:t>在线监测设备安装</w:t>
            </w:r>
          </w:p>
        </w:tc>
        <w:tc>
          <w:tcPr>
            <w:tcW w:w="6215" w:type="dxa"/>
            <w:noWrap w:val="0"/>
            <w:vAlign w:val="center"/>
          </w:tcPr>
          <w:p>
            <w:pPr>
              <w:jc w:val="left"/>
              <w:rPr>
                <w:sz w:val="24"/>
                <w:szCs w:val="24"/>
              </w:rPr>
            </w:pPr>
            <w:r>
              <w:rPr>
                <w:rFonts w:hint="eastAsia"/>
                <w:sz w:val="24"/>
                <w:szCs w:val="24"/>
              </w:rPr>
              <w:t>完成市控以上监测断面在线监测设备安装。</w:t>
            </w:r>
          </w:p>
        </w:tc>
        <w:tc>
          <w:tcPr>
            <w:tcW w:w="1099" w:type="dxa"/>
            <w:noWrap w:val="0"/>
            <w:vAlign w:val="center"/>
          </w:tcPr>
          <w:p>
            <w:pPr>
              <w:jc w:val="center"/>
              <w:rPr>
                <w:rFonts w:hint="eastAsia"/>
                <w:sz w:val="24"/>
                <w:szCs w:val="24"/>
              </w:rPr>
            </w:pPr>
            <w:r>
              <w:rPr>
                <w:rFonts w:hint="eastAsia"/>
                <w:sz w:val="24"/>
                <w:szCs w:val="24"/>
              </w:rPr>
              <w:t>/</w:t>
            </w:r>
          </w:p>
        </w:tc>
        <w:tc>
          <w:tcPr>
            <w:tcW w:w="1023" w:type="dxa"/>
            <w:noWrap w:val="0"/>
            <w:vAlign w:val="center"/>
          </w:tcPr>
          <w:p>
            <w:pPr>
              <w:jc w:val="center"/>
              <w:rPr>
                <w:sz w:val="24"/>
                <w:szCs w:val="24"/>
              </w:rPr>
            </w:pPr>
            <w:r>
              <w:rPr>
                <w:sz w:val="24"/>
                <w:szCs w:val="24"/>
              </w:rPr>
              <w:t>202</w:t>
            </w:r>
            <w:r>
              <w:rPr>
                <w:rFonts w:hint="eastAsia"/>
                <w:sz w:val="24"/>
                <w:szCs w:val="24"/>
              </w:rPr>
              <w:t>1</w:t>
            </w:r>
            <w:r>
              <w:rPr>
                <w:sz w:val="24"/>
                <w:szCs w:val="24"/>
              </w:rPr>
              <w:t>年</w:t>
            </w:r>
          </w:p>
        </w:tc>
        <w:tc>
          <w:tcPr>
            <w:tcW w:w="1731" w:type="dxa"/>
            <w:noWrap w:val="0"/>
            <w:vAlign w:val="center"/>
          </w:tcPr>
          <w:p>
            <w:pPr>
              <w:jc w:val="left"/>
              <w:rPr>
                <w:sz w:val="24"/>
                <w:szCs w:val="24"/>
              </w:rPr>
            </w:pPr>
            <w:r>
              <w:rPr>
                <w:sz w:val="24"/>
                <w:szCs w:val="24"/>
              </w:rPr>
              <w:t>区</w:t>
            </w:r>
            <w:r>
              <w:rPr>
                <w:rFonts w:hint="eastAsia"/>
                <w:sz w:val="24"/>
                <w:szCs w:val="24"/>
              </w:rPr>
              <w:t>城管局</w:t>
            </w:r>
          </w:p>
        </w:tc>
      </w:tr>
    </w:tbl>
    <w:p>
      <w:pPr>
        <w:pStyle w:val="10"/>
        <w:spacing w:after="0"/>
        <w:ind w:left="0" w:leftChars="0" w:firstLine="0" w:firstLineChars="0"/>
        <w:rPr>
          <w:highlight w:val="yellow"/>
        </w:rPr>
        <w:sectPr>
          <w:pgSz w:w="16838" w:h="11906" w:orient="landscape"/>
          <w:pgMar w:top="1800" w:right="1440" w:bottom="1800" w:left="1440" w:header="851" w:footer="992" w:gutter="0"/>
          <w:cols w:space="720" w:num="1"/>
          <w:docGrid w:type="lines" w:linePitch="312" w:charSpace="0"/>
        </w:sectPr>
      </w:pPr>
      <w:r>
        <w:rPr>
          <w:rFonts w:hint="eastAsia" w:eastAsia="仿宋"/>
          <w:b/>
          <w:bCs/>
          <w:sz w:val="24"/>
          <w:szCs w:val="21"/>
        </w:rPr>
        <w:t>注：重点项目最终实施情况以立项为准。</w:t>
      </w:r>
    </w:p>
    <w:p>
      <w:pPr>
        <w:pStyle w:val="4"/>
      </w:pPr>
      <w:bookmarkStart w:id="674" w:name="_Toc22691"/>
      <w:bookmarkStart w:id="675" w:name="_Toc25145"/>
      <w:bookmarkStart w:id="676" w:name="_Toc13271"/>
      <w:bookmarkStart w:id="677" w:name="_Toc1591"/>
      <w:bookmarkStart w:id="678" w:name="_Toc15831"/>
      <w:bookmarkStart w:id="679" w:name="_Toc22680"/>
      <w:bookmarkStart w:id="680" w:name="_Toc14503"/>
      <w:bookmarkStart w:id="681" w:name="_Toc30598"/>
      <w:bookmarkStart w:id="682" w:name="_Toc24597"/>
      <w:bookmarkStart w:id="683" w:name="_Toc12633"/>
      <w:bookmarkStart w:id="684" w:name="_Toc31143"/>
      <w:bookmarkStart w:id="685" w:name="_Toc29273"/>
      <w:bookmarkStart w:id="686" w:name="_Toc11255"/>
      <w:bookmarkStart w:id="687" w:name="_Toc19576"/>
      <w:bookmarkStart w:id="688" w:name="_Toc13505"/>
      <w:bookmarkStart w:id="689" w:name="_Toc17305"/>
      <w:bookmarkStart w:id="690" w:name="_Toc14284"/>
      <w:bookmarkStart w:id="691" w:name="_Toc5101"/>
      <w:bookmarkStart w:id="692" w:name="_Toc30092"/>
      <w:bookmarkStart w:id="693" w:name="_Toc6821"/>
      <w:bookmarkStart w:id="694" w:name="_Toc647"/>
      <w:bookmarkStart w:id="695" w:name="_Toc22434"/>
      <w:bookmarkStart w:id="696" w:name="_Toc14803"/>
      <w:bookmarkStart w:id="697" w:name="_Toc11551"/>
      <w:bookmarkStart w:id="698" w:name="_Toc14271"/>
      <w:bookmarkStart w:id="699" w:name="_Toc32027"/>
      <w:bookmarkStart w:id="700" w:name="_Toc14511"/>
      <w:bookmarkStart w:id="701" w:name="_Toc20632"/>
      <w:bookmarkStart w:id="702" w:name="_Toc16099"/>
      <w:bookmarkStart w:id="703" w:name="_Toc454530002"/>
      <w:r>
        <w:rPr>
          <w:rFonts w:hint="eastAsia"/>
        </w:rPr>
        <w:t>第五章 保障措施</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bookmarkEnd w:id="703"/>
    <w:p>
      <w:pPr>
        <w:pStyle w:val="5"/>
      </w:pPr>
      <w:bookmarkStart w:id="704" w:name="_Toc6219"/>
      <w:bookmarkStart w:id="705" w:name="_Toc2439"/>
      <w:bookmarkStart w:id="706" w:name="_Toc23468"/>
      <w:bookmarkStart w:id="707" w:name="_Toc9244"/>
      <w:bookmarkStart w:id="708" w:name="_Toc20591"/>
      <w:bookmarkStart w:id="709" w:name="_Toc6481"/>
      <w:bookmarkStart w:id="710" w:name="_Toc24178"/>
      <w:bookmarkStart w:id="711" w:name="_Toc3837"/>
      <w:bookmarkStart w:id="712" w:name="_Toc21133"/>
      <w:bookmarkStart w:id="713" w:name="_Toc1408"/>
      <w:bookmarkStart w:id="714" w:name="_Toc5407"/>
      <w:bookmarkStart w:id="715" w:name="_Toc5984"/>
      <w:bookmarkStart w:id="716" w:name="_Toc28617"/>
      <w:bookmarkStart w:id="717" w:name="_Toc6415"/>
      <w:bookmarkStart w:id="718" w:name="_Toc7603"/>
      <w:bookmarkStart w:id="719" w:name="_Toc31597"/>
      <w:bookmarkStart w:id="720" w:name="_Toc4515"/>
      <w:bookmarkStart w:id="721" w:name="_Toc30140"/>
      <w:bookmarkStart w:id="722" w:name="_Toc19275"/>
      <w:bookmarkStart w:id="723" w:name="_Toc8259"/>
      <w:bookmarkStart w:id="724" w:name="_Toc32186"/>
      <w:bookmarkStart w:id="725" w:name="_Toc9035"/>
      <w:bookmarkStart w:id="726" w:name="_Toc32396"/>
      <w:bookmarkStart w:id="727" w:name="_Toc15688"/>
      <w:bookmarkStart w:id="728" w:name="_Toc12730"/>
      <w:bookmarkStart w:id="729" w:name="_Toc13439"/>
      <w:bookmarkStart w:id="730" w:name="_Toc30587"/>
      <w:bookmarkStart w:id="731" w:name="_Toc30731"/>
      <w:bookmarkStart w:id="732" w:name="_Toc3128"/>
      <w:bookmarkStart w:id="733" w:name="_Toc232822896"/>
      <w:bookmarkStart w:id="734" w:name="_Toc338501592"/>
      <w:bookmarkStart w:id="735" w:name="_Toc437437423"/>
      <w:bookmarkStart w:id="736" w:name="_Toc233018815"/>
      <w:bookmarkStart w:id="737" w:name="_Toc274288326"/>
      <w:bookmarkStart w:id="738" w:name="_Toc233027799"/>
      <w:bookmarkStart w:id="739" w:name="_Toc234638805"/>
      <w:bookmarkStart w:id="740" w:name="_Toc217274829"/>
      <w:r>
        <w:t>一、</w:t>
      </w:r>
      <w:r>
        <w:rPr>
          <w:rFonts w:hint="eastAsia"/>
        </w:rPr>
        <w:t>加强</w:t>
      </w:r>
      <w:r>
        <w:t>组织领导，</w:t>
      </w:r>
      <w:r>
        <w:rPr>
          <w:rFonts w:hint="eastAsia"/>
        </w:rPr>
        <w:t>强化协调联动</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ind w:firstLine="640" w:firstLineChars="200"/>
        <w:rPr>
          <w:color w:val="000000"/>
          <w:sz w:val="32"/>
          <w:szCs w:val="28"/>
        </w:rPr>
      </w:pPr>
      <w:r>
        <w:rPr>
          <w:color w:val="000000"/>
          <w:sz w:val="32"/>
          <w:szCs w:val="28"/>
        </w:rPr>
        <w:t>加强领导，落实责任。分解生态环境保护</w:t>
      </w:r>
      <w:r>
        <w:rPr>
          <w:rFonts w:hint="eastAsia"/>
          <w:color w:val="000000"/>
          <w:sz w:val="32"/>
          <w:szCs w:val="28"/>
        </w:rPr>
        <w:t>任务</w:t>
      </w:r>
      <w:r>
        <w:rPr>
          <w:color w:val="000000"/>
          <w:sz w:val="32"/>
          <w:szCs w:val="28"/>
        </w:rPr>
        <w:t>到年度计划，层层分解规划任务。认真实行环境保护年度考核目标责任制，确保环境保护目标如期实现。开展规划中期评估，结合形势变化发展，及时调整生态建设和环境保护目标及年度工作计划。强化环境保护工作的统一监督管理，全面形成政府负责、部门联动、公众参与、环保统一监管的工作氛围和工作机制，加强部门协调，明确部门职责和任务，</w:t>
      </w:r>
      <w:r>
        <w:rPr>
          <w:rFonts w:hint="eastAsia"/>
          <w:color w:val="000000"/>
          <w:sz w:val="32"/>
          <w:szCs w:val="28"/>
        </w:rPr>
        <w:t>确保规划顺利实施。</w:t>
      </w:r>
    </w:p>
    <w:bookmarkEnd w:id="733"/>
    <w:bookmarkEnd w:id="734"/>
    <w:bookmarkEnd w:id="735"/>
    <w:bookmarkEnd w:id="736"/>
    <w:bookmarkEnd w:id="737"/>
    <w:bookmarkEnd w:id="738"/>
    <w:bookmarkEnd w:id="739"/>
    <w:p>
      <w:pPr>
        <w:pStyle w:val="5"/>
      </w:pPr>
      <w:bookmarkStart w:id="741" w:name="_Toc7525"/>
      <w:bookmarkStart w:id="742" w:name="_Toc17"/>
      <w:bookmarkStart w:id="743" w:name="_Toc24115"/>
      <w:bookmarkStart w:id="744" w:name="_Toc4213"/>
      <w:bookmarkStart w:id="745" w:name="_Toc27528"/>
      <w:bookmarkStart w:id="746" w:name="_Toc17733"/>
      <w:bookmarkStart w:id="747" w:name="_Toc1264"/>
      <w:bookmarkStart w:id="748" w:name="_Toc1666"/>
      <w:bookmarkStart w:id="749" w:name="_Toc13482"/>
      <w:bookmarkStart w:id="750" w:name="_Toc4521"/>
      <w:bookmarkStart w:id="751" w:name="_Toc23514"/>
      <w:bookmarkStart w:id="752" w:name="_Toc26261"/>
      <w:bookmarkStart w:id="753" w:name="_Toc11522"/>
      <w:bookmarkStart w:id="754" w:name="_Toc3201"/>
      <w:bookmarkStart w:id="755" w:name="_Toc6260"/>
      <w:bookmarkStart w:id="756" w:name="_Toc6880"/>
      <w:bookmarkStart w:id="757" w:name="_Toc6558"/>
      <w:bookmarkStart w:id="758" w:name="_Toc26084"/>
      <w:bookmarkStart w:id="759" w:name="_Toc30050"/>
      <w:bookmarkStart w:id="760" w:name="_Toc12127"/>
      <w:bookmarkStart w:id="761" w:name="_Toc3181"/>
      <w:bookmarkStart w:id="762" w:name="_Toc26732"/>
      <w:bookmarkStart w:id="763" w:name="_Toc23383"/>
      <w:bookmarkStart w:id="764" w:name="_Toc25153"/>
      <w:bookmarkStart w:id="765" w:name="_Toc14811"/>
      <w:bookmarkStart w:id="766" w:name="_Toc21189"/>
      <w:bookmarkStart w:id="767" w:name="_Toc30986"/>
      <w:bookmarkStart w:id="768" w:name="_Toc252"/>
      <w:bookmarkStart w:id="769" w:name="_Toc28666"/>
      <w:bookmarkStart w:id="770" w:name="_Toc223691722"/>
      <w:r>
        <w:t>二、</w:t>
      </w:r>
      <w:r>
        <w:rPr>
          <w:rFonts w:hint="eastAsia"/>
        </w:rPr>
        <w:t>加大资金投入，强化科技创新</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bookmarkEnd w:id="770"/>
    <w:p>
      <w:pPr>
        <w:ind w:firstLine="640" w:firstLineChars="200"/>
        <w:rPr>
          <w:color w:val="000000"/>
          <w:sz w:val="32"/>
          <w:szCs w:val="28"/>
        </w:rPr>
      </w:pPr>
      <w:r>
        <w:rPr>
          <w:rFonts w:hint="eastAsia"/>
          <w:color w:val="000000"/>
          <w:sz w:val="32"/>
          <w:szCs w:val="28"/>
        </w:rPr>
        <w:t>强化财政对生态环保领域的支持。拓宽社会资金筹措渠道，鼓励不同经济成分和各类投资主体参与生态环境建设。加强生态环保关键性技术研发，切实推进西溪原生态保护提升，彰显自然生态之美、人文底蕴之美。围绕规划目标和重点问题，实施一批重点工程项目，积极发挥重大工程项目的示范作用，以点带面，系统推进“十四五”生态环境保护工作。</w:t>
      </w:r>
    </w:p>
    <w:p>
      <w:pPr>
        <w:pStyle w:val="5"/>
      </w:pPr>
      <w:bookmarkStart w:id="771" w:name="_Toc6699"/>
      <w:bookmarkStart w:id="772" w:name="_Toc6375"/>
      <w:bookmarkStart w:id="773" w:name="_Toc1215"/>
      <w:bookmarkStart w:id="774" w:name="_Toc13480"/>
      <w:bookmarkStart w:id="775" w:name="_Toc13860"/>
      <w:bookmarkStart w:id="776" w:name="_Toc11393"/>
      <w:bookmarkStart w:id="777" w:name="_Toc13141"/>
      <w:bookmarkStart w:id="778" w:name="_Toc8744"/>
      <w:bookmarkStart w:id="779" w:name="_Toc15191"/>
      <w:bookmarkStart w:id="780" w:name="_Toc22616"/>
      <w:bookmarkStart w:id="781" w:name="_Toc15273"/>
      <w:bookmarkStart w:id="782" w:name="_Toc4512"/>
      <w:bookmarkStart w:id="783" w:name="_Toc16849"/>
      <w:bookmarkStart w:id="784" w:name="_Toc14234"/>
      <w:bookmarkStart w:id="785" w:name="_Toc24030"/>
      <w:bookmarkStart w:id="786" w:name="_Toc7646"/>
      <w:bookmarkStart w:id="787" w:name="_Toc3422"/>
      <w:bookmarkStart w:id="788" w:name="_Toc32136"/>
      <w:bookmarkStart w:id="789" w:name="_Toc6038"/>
      <w:bookmarkStart w:id="790" w:name="_Toc15458"/>
      <w:bookmarkStart w:id="791" w:name="_Toc32483"/>
      <w:bookmarkStart w:id="792" w:name="_Toc1475"/>
      <w:bookmarkStart w:id="793" w:name="_Toc29603"/>
      <w:bookmarkStart w:id="794" w:name="_Toc5920"/>
      <w:bookmarkStart w:id="795" w:name="_Toc19678"/>
      <w:bookmarkStart w:id="796" w:name="_Toc5823"/>
      <w:bookmarkStart w:id="797" w:name="_Toc27584"/>
      <w:bookmarkStart w:id="798" w:name="_Toc15405"/>
      <w:bookmarkStart w:id="799" w:name="_Toc1308"/>
      <w:r>
        <w:t>三、</w:t>
      </w:r>
      <w:r>
        <w:rPr>
          <w:rFonts w:hint="eastAsia"/>
        </w:rPr>
        <w:t>加强宣传引导，推动社会监督</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ind w:firstLine="640" w:firstLineChars="200"/>
        <w:rPr>
          <w:color w:val="000000"/>
          <w:sz w:val="32"/>
          <w:szCs w:val="28"/>
        </w:rPr>
      </w:pPr>
      <w:r>
        <w:rPr>
          <w:rFonts w:hint="eastAsia"/>
          <w:color w:val="000000"/>
          <w:sz w:val="32"/>
          <w:szCs w:val="28"/>
        </w:rPr>
        <w:t>充分利用报纸、电视、网络、社交平台和数字媒介等各类媒体，加大规划的宣传力度，激励公众积极参与生态环境保护和建设。充分发挥公众和新闻媒体等社会力量的监督作用，强化社会公众参与，建立规划实施公众反馈和监督机制。通过官方微博、微信公众号，积极宣传生态环保法律法规、政策文件、工作动态和经验做法，鼓励公众通过多种渠道举报环境违法行为。</w:t>
      </w:r>
    </w:p>
    <w:bookmarkEnd w:id="740"/>
    <w:p>
      <w:pPr>
        <w:pStyle w:val="5"/>
        <w:keepNext w:val="0"/>
        <w:keepLines w:val="0"/>
        <w:spacing w:line="240" w:lineRule="auto"/>
        <w:jc w:val="both"/>
      </w:pPr>
      <w:bookmarkStart w:id="800" w:name="_Toc6596"/>
      <w:bookmarkStart w:id="801" w:name="_Toc16212"/>
      <w:bookmarkStart w:id="802" w:name="_Toc3008"/>
      <w:bookmarkStart w:id="803" w:name="_Toc2427"/>
      <w:bookmarkStart w:id="804" w:name="_Toc25841"/>
      <w:bookmarkStart w:id="805" w:name="_Toc22450"/>
      <w:bookmarkStart w:id="806" w:name="_Toc21331"/>
      <w:bookmarkStart w:id="807" w:name="_Toc2431"/>
      <w:bookmarkStart w:id="808" w:name="_Toc10377"/>
      <w:bookmarkStart w:id="809" w:name="_Toc27185"/>
      <w:bookmarkStart w:id="810" w:name="_Toc20810"/>
      <w:bookmarkStart w:id="811" w:name="_Toc28175"/>
      <w:bookmarkStart w:id="812" w:name="_Toc22187"/>
      <w:bookmarkStart w:id="813" w:name="_Toc8228"/>
      <w:bookmarkStart w:id="814" w:name="_Toc11221"/>
      <w:bookmarkStart w:id="815" w:name="_Toc26400"/>
      <w:bookmarkStart w:id="816" w:name="_Toc20636"/>
      <w:bookmarkStart w:id="817" w:name="_Toc20712"/>
      <w:bookmarkStart w:id="818" w:name="_Toc19680"/>
      <w:bookmarkStart w:id="819" w:name="_Toc10651"/>
      <w:bookmarkStart w:id="820" w:name="_Toc18547"/>
      <w:bookmarkStart w:id="821" w:name="_Toc24458"/>
      <w:bookmarkStart w:id="822" w:name="_Toc8897"/>
      <w:bookmarkStart w:id="823" w:name="_Toc19429"/>
      <w:bookmarkStart w:id="824" w:name="_Toc28115"/>
      <w:bookmarkStart w:id="825" w:name="_Toc2325"/>
      <w:bookmarkStart w:id="826" w:name="_Toc1206"/>
      <w:bookmarkStart w:id="827" w:name="_Toc10209"/>
      <w:bookmarkStart w:id="828" w:name="_Toc8049"/>
      <w:bookmarkStart w:id="829" w:name="_Toc1036"/>
      <w:r>
        <w:t>四、</w:t>
      </w:r>
      <w:r>
        <w:rPr>
          <w:rFonts w:hint="eastAsia"/>
        </w:rPr>
        <w:t>强化评估考核，促进规划实施</w:t>
      </w:r>
      <w:bookmarkEnd w:id="800"/>
      <w:bookmarkEnd w:id="801"/>
      <w:bookmarkEnd w:id="802"/>
      <w:bookmarkEnd w:id="803"/>
      <w:bookmarkEnd w:id="804"/>
    </w:p>
    <w:p>
      <w:pPr>
        <w:ind w:firstLine="640" w:firstLineChars="200"/>
        <w:rPr>
          <w:rFonts w:hint="eastAsia" w:ascii="仿宋_GB2312"/>
          <w:color w:val="000000"/>
          <w:sz w:val="32"/>
          <w:szCs w:val="28"/>
        </w:rPr>
      </w:pPr>
      <w:r>
        <w:rPr>
          <w:rFonts w:hint="eastAsia" w:ascii="仿宋_GB2312"/>
          <w:color w:val="000000"/>
          <w:sz w:val="32"/>
          <w:szCs w:val="28"/>
        </w:rPr>
        <w:t>建立规划实施评估考核机制，对规划确定的目标指标、主要任务、重大举措和重大工程落实情况进行及时评估总结。在2023年中和2025年底，分别对规划执行情况开展中期评估和终期考核，并对评估考核结果进行通报，并向社会公开。</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10"/>
        <w:ind w:left="560" w:firstLine="560"/>
        <w:rPr>
          <w:rFonts w:hint="eastAsia" w:eastAsia="仿宋_GB2312"/>
          <w:color w:val="000000"/>
          <w:szCs w:val="28"/>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Pr>
        <w:spacing w:line="500" w:lineRule="exact"/>
        <w:ind w:right="1080"/>
        <w:rPr>
          <w:rFonts w:hint="eastAsia"/>
        </w:rPr>
      </w:pPr>
    </w:p>
    <w:p/>
    <w:p/>
    <w:p>
      <w:pPr>
        <w:pStyle w:val="2"/>
        <w:ind w:left="0" w:leftChars="0" w:firstLine="0" w:firstLineChars="0"/>
        <w:rPr>
          <w:rFonts w:hint="eastAsia"/>
        </w:rPr>
        <w:sectPr>
          <w:pgSz w:w="11906" w:h="16838"/>
          <w:pgMar w:top="1440" w:right="1800" w:bottom="1440" w:left="1800" w:header="851" w:footer="992" w:gutter="0"/>
          <w:cols w:space="720" w:num="1"/>
          <w:docGrid w:type="lines" w:linePitch="312" w:charSpace="0"/>
        </w:sectPr>
      </w:pPr>
    </w:p>
    <w:p>
      <w:pPr>
        <w:adjustRightInd w:val="0"/>
        <w:snapToGrid w:val="0"/>
        <w:jc w:val="left"/>
        <w:outlineLvl w:val="0"/>
        <w:rPr>
          <w:b/>
          <w:bCs/>
          <w:sz w:val="32"/>
          <w:szCs w:val="24"/>
        </w:rPr>
      </w:pPr>
      <w:bookmarkStart w:id="830" w:name="_Toc5194"/>
      <w:bookmarkStart w:id="831" w:name="_Toc24828"/>
      <w:bookmarkStart w:id="832" w:name="_Toc5617"/>
      <w:bookmarkStart w:id="833" w:name="_Toc29283"/>
      <w:bookmarkStart w:id="834" w:name="_Toc12905"/>
      <w:bookmarkStart w:id="835" w:name="_Toc12328"/>
      <w:bookmarkStart w:id="836" w:name="_Toc8327"/>
      <w:bookmarkStart w:id="837" w:name="_Toc13561"/>
      <w:bookmarkStart w:id="838" w:name="_Toc6597"/>
      <w:bookmarkStart w:id="839" w:name="_Toc26297"/>
      <w:bookmarkStart w:id="840" w:name="_Toc13115"/>
      <w:bookmarkStart w:id="841" w:name="_Toc30030"/>
      <w:bookmarkStart w:id="842" w:name="_Toc60126331"/>
      <w:bookmarkStart w:id="843" w:name="_Toc22484"/>
      <w:bookmarkStart w:id="844" w:name="_Toc29972"/>
      <w:bookmarkStart w:id="845" w:name="_Toc30662"/>
      <w:bookmarkStart w:id="846" w:name="_Toc17726"/>
      <w:bookmarkStart w:id="847" w:name="_Toc8972"/>
      <w:bookmarkStart w:id="848" w:name="_Toc23260"/>
      <w:bookmarkStart w:id="849" w:name="_Toc582"/>
      <w:bookmarkStart w:id="850" w:name="_Toc698"/>
      <w:bookmarkStart w:id="851" w:name="_Toc20321"/>
      <w:bookmarkStart w:id="852" w:name="_Toc26866"/>
      <w:bookmarkStart w:id="853" w:name="_Toc27792"/>
      <w:bookmarkStart w:id="854" w:name="_Toc15888"/>
      <w:bookmarkStart w:id="855" w:name="_Toc29439"/>
      <w:bookmarkStart w:id="856" w:name="_Toc12584"/>
      <w:bookmarkStart w:id="857" w:name="_Toc7639"/>
      <w:bookmarkStart w:id="858" w:name="_Toc4167"/>
      <w:bookmarkStart w:id="859" w:name="_Toc22441"/>
      <w:r>
        <w:rPr>
          <w:rFonts w:hint="eastAsia" w:ascii="黑体" w:hAnsi="黑体" w:eastAsia="黑体" w:cs="黑体"/>
          <w:b/>
          <w:bCs/>
          <w:sz w:val="32"/>
          <w:szCs w:val="24"/>
        </w:rPr>
        <w:t>附图</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ind w:firstLine="640" w:firstLineChars="200"/>
        <w:outlineLvl w:val="0"/>
        <w:rPr>
          <w:sz w:val="32"/>
          <w:szCs w:val="24"/>
        </w:rPr>
      </w:pPr>
      <w:bookmarkStart w:id="860" w:name="_Toc10039"/>
      <w:bookmarkStart w:id="861" w:name="_Toc6851"/>
      <w:bookmarkStart w:id="862" w:name="_Toc6117"/>
      <w:bookmarkStart w:id="863" w:name="_Toc16814"/>
      <w:bookmarkStart w:id="864" w:name="_Toc27011"/>
      <w:bookmarkStart w:id="865" w:name="_Toc2406"/>
      <w:bookmarkStart w:id="866" w:name="_Toc6238"/>
      <w:bookmarkStart w:id="867" w:name="_Toc4635"/>
      <w:bookmarkStart w:id="868" w:name="_Toc21249"/>
      <w:bookmarkStart w:id="869" w:name="_Toc14361"/>
      <w:bookmarkStart w:id="870" w:name="_Toc22293"/>
      <w:bookmarkStart w:id="871" w:name="_Toc12407"/>
      <w:bookmarkStart w:id="872" w:name="_Toc18867"/>
      <w:bookmarkStart w:id="873" w:name="_Toc12046"/>
      <w:bookmarkStart w:id="874" w:name="_Toc17304"/>
      <w:bookmarkStart w:id="875" w:name="_Toc13523"/>
      <w:r>
        <w:rPr>
          <w:sz w:val="32"/>
          <w:szCs w:val="24"/>
        </w:rPr>
        <w:t>01   区位图</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ind w:firstLine="640" w:firstLineChars="200"/>
        <w:outlineLvl w:val="0"/>
        <w:rPr>
          <w:sz w:val="32"/>
          <w:szCs w:val="24"/>
        </w:rPr>
      </w:pPr>
      <w:bookmarkStart w:id="876" w:name="_Toc14697"/>
      <w:bookmarkStart w:id="877" w:name="_Toc4455"/>
      <w:bookmarkStart w:id="878" w:name="_Toc25464"/>
      <w:bookmarkStart w:id="879" w:name="_Toc29403"/>
      <w:bookmarkStart w:id="880" w:name="_Toc4259"/>
      <w:bookmarkStart w:id="881" w:name="_Toc16500"/>
      <w:bookmarkStart w:id="882" w:name="_Toc16162"/>
      <w:bookmarkStart w:id="883" w:name="_Toc18907"/>
      <w:bookmarkStart w:id="884" w:name="_Toc31542"/>
      <w:bookmarkStart w:id="885" w:name="_Toc30775"/>
      <w:bookmarkStart w:id="886" w:name="_Toc1031"/>
      <w:bookmarkStart w:id="887" w:name="_Toc18448"/>
      <w:bookmarkStart w:id="888" w:name="_Toc14123"/>
      <w:bookmarkStart w:id="889" w:name="_Toc28314"/>
      <w:bookmarkStart w:id="890" w:name="_Toc28244"/>
      <w:bookmarkStart w:id="891" w:name="_Toc485"/>
      <w:r>
        <w:rPr>
          <w:sz w:val="32"/>
          <w:szCs w:val="24"/>
        </w:rPr>
        <w:t>0</w:t>
      </w:r>
      <w:r>
        <w:rPr>
          <w:rFonts w:hint="eastAsia"/>
          <w:sz w:val="32"/>
          <w:szCs w:val="24"/>
        </w:rPr>
        <w:t>2</w:t>
      </w:r>
      <w:r>
        <w:rPr>
          <w:sz w:val="32"/>
          <w:szCs w:val="24"/>
        </w:rPr>
        <w:t xml:space="preserve">   </w:t>
      </w:r>
      <w:r>
        <w:rPr>
          <w:rFonts w:hint="eastAsia"/>
          <w:sz w:val="32"/>
          <w:szCs w:val="24"/>
        </w:rPr>
        <w:t>范围</w:t>
      </w:r>
      <w:r>
        <w:rPr>
          <w:sz w:val="32"/>
          <w:szCs w:val="24"/>
        </w:rPr>
        <w:t>图</w:t>
      </w:r>
      <w:bookmarkEnd w:id="876"/>
      <w:bookmarkEnd w:id="877"/>
      <w:bookmarkEnd w:id="878"/>
      <w:bookmarkEnd w:id="879"/>
      <w:bookmarkEnd w:id="880"/>
      <w:bookmarkEnd w:id="881"/>
      <w:bookmarkEnd w:id="882"/>
      <w:bookmarkEnd w:id="883"/>
      <w:bookmarkEnd w:id="884"/>
      <w:bookmarkEnd w:id="885"/>
      <w:bookmarkEnd w:id="886"/>
      <w:bookmarkEnd w:id="887"/>
      <w:bookmarkEnd w:id="888"/>
    </w:p>
    <w:bookmarkEnd w:id="889"/>
    <w:bookmarkEnd w:id="890"/>
    <w:bookmarkEnd w:id="891"/>
    <w:p>
      <w:pPr>
        <w:ind w:firstLine="640" w:firstLineChars="200"/>
        <w:outlineLvl w:val="0"/>
        <w:rPr>
          <w:sz w:val="32"/>
          <w:szCs w:val="24"/>
        </w:rPr>
      </w:pPr>
      <w:bookmarkStart w:id="892" w:name="_Toc12198"/>
      <w:bookmarkStart w:id="893" w:name="_Toc10605"/>
      <w:bookmarkStart w:id="894" w:name="_Toc7773"/>
      <w:bookmarkStart w:id="895" w:name="_Toc23713"/>
      <w:bookmarkStart w:id="896" w:name="_Toc25321"/>
      <w:bookmarkStart w:id="897" w:name="_Toc18784"/>
      <w:bookmarkStart w:id="898" w:name="_Toc25034"/>
      <w:bookmarkStart w:id="899" w:name="_Toc31292"/>
      <w:bookmarkStart w:id="900" w:name="_Toc26205"/>
      <w:bookmarkStart w:id="901" w:name="_Toc21102"/>
      <w:bookmarkStart w:id="902" w:name="_Toc10388"/>
      <w:bookmarkStart w:id="903" w:name="_Toc11388"/>
      <w:bookmarkStart w:id="904" w:name="_Toc20415"/>
      <w:bookmarkStart w:id="905" w:name="_Toc13350"/>
      <w:bookmarkStart w:id="906" w:name="_Toc13871"/>
      <w:bookmarkStart w:id="907" w:name="_Toc13274"/>
      <w:r>
        <w:rPr>
          <w:sz w:val="32"/>
          <w:szCs w:val="24"/>
        </w:rPr>
        <w:t xml:space="preserve">03   </w:t>
      </w:r>
      <w:r>
        <w:rPr>
          <w:rFonts w:hint="eastAsia"/>
          <w:sz w:val="32"/>
          <w:szCs w:val="24"/>
        </w:rPr>
        <w:t>水系</w:t>
      </w:r>
      <w:r>
        <w:rPr>
          <w:sz w:val="32"/>
          <w:szCs w:val="24"/>
        </w:rPr>
        <w:t>图</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ind w:firstLine="640" w:firstLineChars="200"/>
        <w:outlineLvl w:val="0"/>
        <w:rPr>
          <w:iCs/>
          <w:sz w:val="32"/>
          <w:szCs w:val="24"/>
          <w:u w:val="single"/>
        </w:rPr>
      </w:pPr>
      <w:bookmarkStart w:id="908" w:name="_Toc32274"/>
      <w:bookmarkStart w:id="909" w:name="_Toc14488"/>
      <w:bookmarkStart w:id="910" w:name="_Toc26567"/>
      <w:bookmarkStart w:id="911" w:name="_Toc24572"/>
      <w:bookmarkStart w:id="912" w:name="_Toc22189"/>
      <w:bookmarkStart w:id="913" w:name="_Toc32641"/>
      <w:bookmarkStart w:id="914" w:name="_Toc2151"/>
      <w:bookmarkStart w:id="915" w:name="_Toc5071"/>
      <w:bookmarkStart w:id="916" w:name="_Toc19346"/>
      <w:bookmarkStart w:id="917" w:name="_Toc25546"/>
      <w:bookmarkStart w:id="918" w:name="_Toc12719"/>
      <w:bookmarkStart w:id="919" w:name="_Toc23685"/>
      <w:bookmarkStart w:id="920" w:name="_Toc2622"/>
      <w:bookmarkStart w:id="921" w:name="_Toc8105"/>
      <w:bookmarkStart w:id="922" w:name="_Toc26920"/>
      <w:bookmarkStart w:id="923" w:name="_Toc32442"/>
      <w:r>
        <w:rPr>
          <w:iCs/>
          <w:sz w:val="32"/>
          <w:szCs w:val="24"/>
        </w:rPr>
        <w:t xml:space="preserve">04   </w:t>
      </w:r>
      <w:r>
        <w:rPr>
          <w:rFonts w:hint="eastAsia"/>
          <w:iCs/>
          <w:sz w:val="32"/>
          <w:szCs w:val="24"/>
        </w:rPr>
        <w:t>监测点位分布图</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pPr>
        <w:sectPr>
          <w:pgSz w:w="11906" w:h="16838"/>
          <w:pgMar w:top="1440" w:right="1800" w:bottom="1440" w:left="1800" w:header="851" w:footer="992" w:gutter="0"/>
          <w:cols w:space="720" w:num="1"/>
          <w:docGrid w:type="lines" w:linePitch="312" w:charSpace="0"/>
        </w:sectPr>
      </w:pPr>
    </w:p>
    <w:p>
      <w:pPr>
        <w:jc w:val="center"/>
      </w:pPr>
      <w:r>
        <w:rPr>
          <w:rFonts w:hint="eastAsia"/>
        </w:rPr>
        <w:drawing>
          <wp:inline distT="0" distB="0" distL="114300" distR="114300">
            <wp:extent cx="7439660" cy="5263515"/>
            <wp:effectExtent l="9525" t="9525" r="18415" b="22860"/>
            <wp:docPr id="5" name="图片 3" descr="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区位图"/>
                    <pic:cNvPicPr>
                      <a:picLocks noChangeAspect="1"/>
                    </pic:cNvPicPr>
                  </pic:nvPicPr>
                  <pic:blipFill>
                    <a:blip r:embed="rId9"/>
                    <a:stretch>
                      <a:fillRect/>
                    </a:stretch>
                  </pic:blipFill>
                  <pic:spPr>
                    <a:xfrm>
                      <a:off x="0" y="0"/>
                      <a:ext cx="7439660" cy="526351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0"/>
        <w:ind w:left="560" w:firstLine="560"/>
        <w:rPr>
          <w:rFonts w:hint="eastAsia"/>
        </w:rPr>
      </w:pPr>
      <w:r>
        <w:rPr>
          <w:rFonts w:hint="eastAsia"/>
        </w:rPr>
        <w:drawing>
          <wp:inline distT="0" distB="0" distL="114300" distR="114300">
            <wp:extent cx="7439660" cy="5263515"/>
            <wp:effectExtent l="9525" t="9525" r="18415" b="22860"/>
            <wp:docPr id="6" name="图片 4" descr="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范围图"/>
                    <pic:cNvPicPr>
                      <a:picLocks noChangeAspect="1"/>
                    </pic:cNvPicPr>
                  </pic:nvPicPr>
                  <pic:blipFill>
                    <a:blip r:embed="rId10"/>
                    <a:stretch>
                      <a:fillRect/>
                    </a:stretch>
                  </pic:blipFill>
                  <pic:spPr>
                    <a:xfrm>
                      <a:off x="0" y="0"/>
                      <a:ext cx="7439660" cy="526351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rPr>
        <w:drawing>
          <wp:inline distT="0" distB="0" distL="114300" distR="114300">
            <wp:extent cx="7439660" cy="5262880"/>
            <wp:effectExtent l="9525" t="9525" r="18415" b="23495"/>
            <wp:docPr id="7" name="图片 5"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水系图"/>
                    <pic:cNvPicPr>
                      <a:picLocks noChangeAspect="1"/>
                    </pic:cNvPicPr>
                  </pic:nvPicPr>
                  <pic:blipFill>
                    <a:blip r:embed="rId11"/>
                    <a:stretch>
                      <a:fillRect/>
                    </a:stretch>
                  </pic:blipFill>
                  <pic:spPr>
                    <a:xfrm>
                      <a:off x="0" y="0"/>
                      <a:ext cx="7439660" cy="52628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0"/>
        <w:ind w:left="0" w:leftChars="0" w:firstLine="0" w:firstLineChars="0"/>
        <w:jc w:val="center"/>
      </w:pPr>
      <w:r>
        <w:rPr>
          <w:rFonts w:hint="eastAsia"/>
        </w:rPr>
        <w:drawing>
          <wp:inline distT="0" distB="0" distL="114300" distR="114300">
            <wp:extent cx="7448550" cy="5271135"/>
            <wp:effectExtent l="9525" t="9525" r="9525" b="15240"/>
            <wp:docPr id="8" name="图片 6" descr="图框西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图框西溪"/>
                    <pic:cNvPicPr>
                      <a:picLocks noChangeAspect="1"/>
                    </pic:cNvPicPr>
                  </pic:nvPicPr>
                  <pic:blipFill>
                    <a:blip r:embed="rId12"/>
                    <a:stretch>
                      <a:fillRect/>
                    </a:stretch>
                  </pic:blipFill>
                  <pic:spPr>
                    <a:xfrm>
                      <a:off x="0" y="0"/>
                      <a:ext cx="7448550" cy="5271135"/>
                    </a:xfrm>
                    <a:prstGeom prst="rect">
                      <a:avLst/>
                    </a:prstGeom>
                    <a:noFill/>
                    <a:ln w="9525" cap="flat" cmpd="sng">
                      <a:solidFill>
                        <a:srgbClr val="000000"/>
                      </a:solidFill>
                      <a:prstDash val="solid"/>
                      <a:round/>
                      <a:headEnd type="none" w="med" len="med"/>
                      <a:tailEnd type="none" w="med" len="med"/>
                    </a:ln>
                  </pic:spPr>
                </pic:pic>
              </a:graphicData>
            </a:graphic>
          </wp:inline>
        </w:drawing>
      </w:r>
    </w:p>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rPr>
                              <w:rFonts w:eastAsia="仿宋"/>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7"/>
                      <w:rPr>
                        <w:rFonts w:eastAsia="仿宋"/>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45</w:t>
                    </w:r>
                    <w: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03CD14"/>
    <w:multiLevelType w:val="singleLevel"/>
    <w:tmpl w:val="D603CD14"/>
    <w:lvl w:ilvl="0" w:tentative="0">
      <w:start w:val="2"/>
      <w:numFmt w:val="decimal"/>
      <w:suff w:val="nothing"/>
      <w:lvlText w:val="%1、"/>
      <w:lvlJc w:val="left"/>
    </w:lvl>
  </w:abstractNum>
  <w:abstractNum w:abstractNumId="1">
    <w:nsid w:val="3B83F028"/>
    <w:multiLevelType w:val="singleLevel"/>
    <w:tmpl w:val="3B83F028"/>
    <w:lvl w:ilvl="0" w:tentative="0">
      <w:start w:val="1"/>
      <w:numFmt w:val="decimal"/>
      <w:suff w:val="nothing"/>
      <w:lvlText w:val="%1"/>
      <w:lvlJc w:val="left"/>
      <w:pPr>
        <w:tabs>
          <w:tab w:val="left" w:pos="397"/>
        </w:tabs>
        <w:ind w:left="454" w:hanging="454"/>
      </w:pPr>
      <w:rPr>
        <w:rFonts w:hint="default"/>
      </w:rPr>
    </w:lvl>
  </w:abstractNum>
  <w:abstractNum w:abstractNumId="2">
    <w:nsid w:val="6BB06A8A"/>
    <w:multiLevelType w:val="singleLevel"/>
    <w:tmpl w:val="6BB06A8A"/>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YmU2MDJkYjEwN2FlNmY0N2Y4Y2MyMjQ2N2NlZTYifQ=="/>
  </w:docVars>
  <w:rsids>
    <w:rsidRoot w:val="553774C2"/>
    <w:rsid w:val="005B0C96"/>
    <w:rsid w:val="29205091"/>
    <w:rsid w:val="539F0A28"/>
    <w:rsid w:val="553774C2"/>
    <w:rsid w:val="5A0B3C52"/>
    <w:rsid w:val="7F722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28"/>
      <w:szCs w:val="22"/>
      <w:lang w:val="en-US" w:eastAsia="zh-CN" w:bidi="ar-SA"/>
    </w:rPr>
  </w:style>
  <w:style w:type="paragraph" w:styleId="4">
    <w:name w:val="heading 1"/>
    <w:basedOn w:val="1"/>
    <w:next w:val="1"/>
    <w:qFormat/>
    <w:uiPriority w:val="0"/>
    <w:pPr>
      <w:keepNext/>
      <w:keepLines/>
      <w:spacing w:before="340" w:after="330" w:line="576" w:lineRule="auto"/>
      <w:jc w:val="center"/>
      <w:outlineLvl w:val="0"/>
    </w:pPr>
    <w:rPr>
      <w:rFonts w:eastAsia="黑体"/>
      <w:b/>
      <w:kern w:val="44"/>
      <w:sz w:val="32"/>
    </w:rPr>
  </w:style>
  <w:style w:type="paragraph" w:styleId="5">
    <w:name w:val="heading 2"/>
    <w:basedOn w:val="1"/>
    <w:next w:val="1"/>
    <w:qFormat/>
    <w:uiPriority w:val="0"/>
    <w:pPr>
      <w:keepNext/>
      <w:keepLines/>
      <w:spacing w:line="360" w:lineRule="auto"/>
      <w:jc w:val="left"/>
      <w:outlineLvl w:val="1"/>
    </w:pPr>
    <w:rPr>
      <w:rFonts w:ascii="Arial" w:hAnsi="Arial" w:eastAsia="黑体"/>
      <w:sz w:val="32"/>
    </w:rPr>
  </w:style>
  <w:style w:type="paragraph" w:styleId="6">
    <w:name w:val="heading 3"/>
    <w:basedOn w:val="1"/>
    <w:next w:val="1"/>
    <w:link w:val="13"/>
    <w:qFormat/>
    <w:uiPriority w:val="0"/>
    <w:pPr>
      <w:keepNext/>
      <w:keepLines/>
      <w:spacing w:line="360" w:lineRule="auto"/>
      <w:ind w:firstLine="560" w:firstLineChars="200"/>
      <w:outlineLvl w:val="2"/>
    </w:pPr>
    <w:rPr>
      <w:rFonts w:eastAsia="楷体"/>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正文文本首行缩进 21"/>
    <w:basedOn w:val="3"/>
    <w:next w:val="1"/>
    <w:unhideWhenUsed/>
    <w:qFormat/>
    <w:uiPriority w:val="99"/>
    <w:pPr>
      <w:widowControl w:val="0"/>
      <w:spacing w:after="120"/>
      <w:ind w:left="420" w:leftChars="200" w:firstLine="420" w:firstLineChars="200"/>
      <w:jc w:val="both"/>
    </w:pPr>
    <w:rPr>
      <w:rFonts w:ascii="Times New Roman" w:hAnsi="Times New Roman" w:eastAsia="宋体" w:cs="Times New Roman"/>
      <w:kern w:val="2"/>
      <w:sz w:val="28"/>
      <w:szCs w:val="22"/>
      <w:lang w:val="en-US" w:eastAsia="zh-CN" w:bidi="ar-SA"/>
    </w:rPr>
  </w:style>
  <w:style w:type="paragraph" w:styleId="3">
    <w:name w:val="Body Text Indent"/>
    <w:basedOn w:val="1"/>
    <w:unhideWhenUsed/>
    <w:qFormat/>
    <w:uiPriority w:val="99"/>
    <w:pPr>
      <w:widowControl/>
      <w:spacing w:after="120"/>
      <w:ind w:left="420" w:leftChars="200"/>
      <w:jc w:val="left"/>
    </w:pPr>
    <w:rPr>
      <w:rFonts w:ascii="Calibri" w:hAnsi="Calibri" w:eastAsia="宋体"/>
    </w:rPr>
  </w:style>
  <w:style w:type="paragraph" w:styleId="7">
    <w:name w:val="footer"/>
    <w:basedOn w:val="1"/>
    <w:qFormat/>
    <w:uiPriority w:val="99"/>
    <w:pPr>
      <w:tabs>
        <w:tab w:val="center" w:pos="4153"/>
        <w:tab w:val="right" w:pos="8306"/>
      </w:tabs>
      <w:snapToGrid w:val="0"/>
      <w:jc w:val="left"/>
    </w:pPr>
    <w:rPr>
      <w:sz w:val="18"/>
    </w:rPr>
  </w:style>
  <w:style w:type="paragraph" w:styleId="8">
    <w:name w:val="toc 1"/>
    <w:basedOn w:val="1"/>
    <w:next w:val="1"/>
    <w:qFormat/>
    <w:uiPriority w:val="0"/>
    <w:rPr>
      <w:rFonts w:eastAsia="黑体"/>
      <w:sz w:val="24"/>
    </w:rPr>
  </w:style>
  <w:style w:type="paragraph" w:styleId="9">
    <w:name w:val="toc 2"/>
    <w:basedOn w:val="1"/>
    <w:next w:val="1"/>
    <w:qFormat/>
    <w:uiPriority w:val="0"/>
    <w:pPr>
      <w:ind w:left="420" w:leftChars="200"/>
    </w:pPr>
    <w:rPr>
      <w:sz w:val="24"/>
    </w:rPr>
  </w:style>
  <w:style w:type="paragraph" w:styleId="10">
    <w:name w:val="Body Text First Indent 2"/>
    <w:basedOn w:val="3"/>
    <w:next w:val="1"/>
    <w:unhideWhenUsed/>
    <w:qFormat/>
    <w:uiPriority w:val="99"/>
    <w:pPr>
      <w:widowControl w:val="0"/>
      <w:ind w:firstLine="420" w:firstLineChars="200"/>
      <w:jc w:val="both"/>
    </w:pPr>
    <w:rPr>
      <w:rFonts w:ascii="Times New Roman" w:hAnsi="Times New Roman"/>
    </w:rPr>
  </w:style>
  <w:style w:type="character" w:customStyle="1" w:styleId="13">
    <w:name w:val="标题 3 Char"/>
    <w:link w:val="6"/>
    <w:qFormat/>
    <w:uiPriority w:val="0"/>
    <w:rPr>
      <w:rFonts w:eastAsia="楷体"/>
      <w:b/>
      <w:sz w:val="32"/>
    </w:rPr>
  </w:style>
  <w:style w:type="paragraph" w:customStyle="1" w:styleId="14">
    <w:name w:val="bg正文"/>
    <w:basedOn w:val="1"/>
    <w:qFormat/>
    <w:uiPriority w:val="0"/>
    <w:pPr>
      <w:widowControl/>
      <w:adjustRightInd w:val="0"/>
      <w:snapToGrid w:val="0"/>
      <w:spacing w:beforeLines="50" w:line="360" w:lineRule="auto"/>
      <w:ind w:firstLine="470" w:firstLineChars="196"/>
      <w:jc w:val="left"/>
    </w:pPr>
    <w:rPr>
      <w:rFonts w:ascii="宋体" w:hAnsi="宋体"/>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19806</Words>
  <Characters>20293</Characters>
  <Lines>0</Lines>
  <Paragraphs>0</Paragraphs>
  <TotalTime>3</TotalTime>
  <ScaleCrop>false</ScaleCrop>
  <LinksUpToDate>false</LinksUpToDate>
  <CharactersWithSpaces>20356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2021-11-15T03:06:00Z</dcterms:created>
  <dc:creator>zhan</dc:creator>
  <cp:lastModifiedBy>匿名用户</cp:lastModifiedBy>
  <dcterms:modified xsi:type="dcterms:W3CDTF">2022-10-28T02:46:12Z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55970E28A57148A9A9E40ADBF847DB01</vt:lpwstr>
  </property>
</Properties>
</file>